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94DA" w14:textId="77777777" w:rsidR="007E2F66" w:rsidRDefault="007E2F66" w:rsidP="003E3983"/>
    <w:p w14:paraId="179163B6" w14:textId="5E00D2BE" w:rsidR="007E2F66" w:rsidRDefault="007E2F66" w:rsidP="003E3983">
      <w:bookmarkStart w:id="0" w:name="_Hlk536528157"/>
      <w:r w:rsidRPr="00765E09">
        <w:t xml:space="preserve">Algemene voorwaarden </w:t>
      </w:r>
      <w:r w:rsidR="005C3D3B">
        <w:tab/>
      </w:r>
      <w:r w:rsidR="005C3D3B">
        <w:tab/>
      </w:r>
      <w:r w:rsidR="005C3D3B">
        <w:tab/>
      </w:r>
      <w:r w:rsidR="005C3D3B">
        <w:tab/>
      </w:r>
      <w:r w:rsidR="005C3D3B">
        <w:tab/>
      </w:r>
      <w:r w:rsidR="005C3D3B">
        <w:tab/>
      </w:r>
      <w:r w:rsidR="005C3D3B">
        <w:tab/>
      </w:r>
      <w:r w:rsidRPr="00765E09">
        <w:br/>
        <w:t>Gerechtsdeurwaarderskantoor De Kluijver</w:t>
      </w:r>
      <w:r w:rsidRPr="00765E09">
        <w:br/>
        <w:t>Alphen aan den Rijn</w:t>
      </w:r>
    </w:p>
    <w:p w14:paraId="3FAB01FA" w14:textId="77777777" w:rsidR="007E2F66" w:rsidRPr="00650EB5" w:rsidRDefault="007E2F66" w:rsidP="003E3983">
      <w:pPr>
        <w:rPr>
          <w:highlight w:val="yellow"/>
        </w:rPr>
      </w:pPr>
    </w:p>
    <w:p w14:paraId="1E77AAE4" w14:textId="77777777" w:rsidR="007E2F66" w:rsidRPr="001A1BA4" w:rsidRDefault="00650EB5" w:rsidP="003E3983">
      <w:pPr>
        <w:rPr>
          <w:b/>
        </w:rPr>
      </w:pPr>
      <w:r w:rsidRPr="001A1BA4">
        <w:rPr>
          <w:b/>
        </w:rPr>
        <w:t>1.</w:t>
      </w:r>
      <w:r w:rsidR="007E2F66" w:rsidRPr="001A1BA4">
        <w:rPr>
          <w:b/>
        </w:rPr>
        <w:t xml:space="preserve"> begrippen </w:t>
      </w:r>
    </w:p>
    <w:tbl>
      <w:tblPr>
        <w:tblpPr w:leftFromText="180" w:rightFromText="180" w:vertAnchor="text" w:tblpY="1"/>
        <w:tblOverlap w:val="never"/>
        <w:tblW w:w="10640" w:type="dxa"/>
        <w:tblCellSpacing w:w="75" w:type="dxa"/>
        <w:tblCellMar>
          <w:left w:w="0" w:type="dxa"/>
          <w:right w:w="0" w:type="dxa"/>
        </w:tblCellMar>
        <w:tblLook w:val="0000" w:firstRow="0" w:lastRow="0" w:firstColumn="0" w:lastColumn="0" w:noHBand="0" w:noVBand="0"/>
      </w:tblPr>
      <w:tblGrid>
        <w:gridCol w:w="2077"/>
        <w:gridCol w:w="8563"/>
      </w:tblGrid>
      <w:tr w:rsidR="007E2F66" w:rsidRPr="00765E09" w14:paraId="02731067" w14:textId="77777777" w:rsidTr="003E7005">
        <w:trPr>
          <w:tblCellSpacing w:w="75" w:type="dxa"/>
        </w:trPr>
        <w:tc>
          <w:tcPr>
            <w:tcW w:w="0" w:type="auto"/>
          </w:tcPr>
          <w:p w14:paraId="6FE3A2D9" w14:textId="77777777" w:rsidR="007E2F66" w:rsidRPr="00265541" w:rsidRDefault="007E2F66" w:rsidP="003E3983">
            <w:pPr>
              <w:rPr>
                <w:sz w:val="14"/>
                <w:szCs w:val="14"/>
              </w:rPr>
            </w:pPr>
            <w:r w:rsidRPr="00265541">
              <w:rPr>
                <w:sz w:val="14"/>
                <w:szCs w:val="14"/>
              </w:rPr>
              <w:t>opdrachtnemer:</w:t>
            </w:r>
          </w:p>
        </w:tc>
        <w:tc>
          <w:tcPr>
            <w:tcW w:w="8338" w:type="dxa"/>
          </w:tcPr>
          <w:p w14:paraId="0AEB5D9D" w14:textId="77777777" w:rsidR="007E2F66" w:rsidRPr="00265541" w:rsidRDefault="007E2F66" w:rsidP="003E3983">
            <w:pPr>
              <w:rPr>
                <w:sz w:val="14"/>
                <w:szCs w:val="14"/>
              </w:rPr>
            </w:pPr>
            <w:r w:rsidRPr="00265541">
              <w:rPr>
                <w:sz w:val="14"/>
                <w:szCs w:val="14"/>
              </w:rPr>
              <w:t>Gerechtsdeurwaarderskantoor De Kluijver</w:t>
            </w:r>
          </w:p>
        </w:tc>
      </w:tr>
      <w:tr w:rsidR="007E2F66" w:rsidRPr="00765E09" w14:paraId="7D699F09" w14:textId="77777777" w:rsidTr="003E7005">
        <w:trPr>
          <w:tblCellSpacing w:w="75" w:type="dxa"/>
        </w:trPr>
        <w:tc>
          <w:tcPr>
            <w:tcW w:w="0" w:type="auto"/>
          </w:tcPr>
          <w:p w14:paraId="1348F405" w14:textId="77777777" w:rsidR="007E2F66" w:rsidRPr="00265541" w:rsidRDefault="007E2F66" w:rsidP="003E3983">
            <w:pPr>
              <w:rPr>
                <w:sz w:val="14"/>
                <w:szCs w:val="14"/>
              </w:rPr>
            </w:pPr>
            <w:r w:rsidRPr="00265541">
              <w:rPr>
                <w:sz w:val="14"/>
                <w:szCs w:val="14"/>
              </w:rPr>
              <w:t>opdrachtgevers:</w:t>
            </w:r>
          </w:p>
        </w:tc>
        <w:tc>
          <w:tcPr>
            <w:tcW w:w="8338" w:type="dxa"/>
          </w:tcPr>
          <w:p w14:paraId="70C62AEC" w14:textId="77777777" w:rsidR="007E2F66" w:rsidRPr="00265541" w:rsidRDefault="007E2F66" w:rsidP="003E3983">
            <w:pPr>
              <w:rPr>
                <w:sz w:val="14"/>
                <w:szCs w:val="14"/>
              </w:rPr>
            </w:pPr>
            <w:r w:rsidRPr="00265541">
              <w:rPr>
                <w:sz w:val="14"/>
                <w:szCs w:val="14"/>
              </w:rPr>
              <w:t xml:space="preserve">degenen die aan de opdrachtnemer een opdracht tot het verrichten van werkzaamheden verstrekken </w:t>
            </w:r>
          </w:p>
        </w:tc>
      </w:tr>
      <w:tr w:rsidR="007E2F66" w:rsidRPr="00765E09" w14:paraId="27B6629E" w14:textId="77777777" w:rsidTr="003E7005">
        <w:trPr>
          <w:tblCellSpacing w:w="75" w:type="dxa"/>
        </w:trPr>
        <w:tc>
          <w:tcPr>
            <w:tcW w:w="0" w:type="auto"/>
          </w:tcPr>
          <w:p w14:paraId="58070D7C" w14:textId="77777777" w:rsidR="007E2F66" w:rsidRPr="00265541" w:rsidRDefault="007E2F66" w:rsidP="003E3983">
            <w:pPr>
              <w:rPr>
                <w:sz w:val="14"/>
                <w:szCs w:val="14"/>
                <w:lang w:val="en-US"/>
              </w:rPr>
            </w:pPr>
            <w:proofErr w:type="spellStart"/>
            <w:r w:rsidRPr="00265541">
              <w:rPr>
                <w:sz w:val="14"/>
                <w:szCs w:val="14"/>
                <w:lang w:val="en-US"/>
              </w:rPr>
              <w:t>tussenpersonen</w:t>
            </w:r>
            <w:proofErr w:type="spellEnd"/>
            <w:r w:rsidRPr="00265541">
              <w:rPr>
                <w:sz w:val="14"/>
                <w:szCs w:val="14"/>
                <w:lang w:val="en-US"/>
              </w:rPr>
              <w:t>:</w:t>
            </w:r>
          </w:p>
        </w:tc>
        <w:tc>
          <w:tcPr>
            <w:tcW w:w="8338" w:type="dxa"/>
          </w:tcPr>
          <w:p w14:paraId="219D3992" w14:textId="77777777" w:rsidR="007E2F66" w:rsidRPr="00265541" w:rsidRDefault="007E2F66" w:rsidP="003E3983">
            <w:pPr>
              <w:rPr>
                <w:sz w:val="14"/>
                <w:szCs w:val="14"/>
                <w:lang w:val="en-US"/>
              </w:rPr>
            </w:pPr>
            <w:proofErr w:type="spellStart"/>
            <w:r w:rsidRPr="00265541">
              <w:rPr>
                <w:sz w:val="14"/>
                <w:szCs w:val="14"/>
                <w:lang w:val="en-US"/>
              </w:rPr>
              <w:t>gerechtsdeurwaarders</w:t>
            </w:r>
            <w:proofErr w:type="spellEnd"/>
            <w:r w:rsidRPr="00265541">
              <w:rPr>
                <w:sz w:val="14"/>
                <w:szCs w:val="14"/>
                <w:lang w:val="en-US"/>
              </w:rPr>
              <w:t xml:space="preserve">, </w:t>
            </w:r>
            <w:proofErr w:type="spellStart"/>
            <w:r w:rsidRPr="00265541">
              <w:rPr>
                <w:sz w:val="14"/>
                <w:szCs w:val="14"/>
                <w:lang w:val="en-US"/>
              </w:rPr>
              <w:t>advocaten</w:t>
            </w:r>
            <w:proofErr w:type="spellEnd"/>
            <w:r w:rsidRPr="00265541">
              <w:rPr>
                <w:sz w:val="14"/>
                <w:szCs w:val="14"/>
                <w:lang w:val="en-US"/>
              </w:rPr>
              <w:t xml:space="preserve"> </w:t>
            </w:r>
            <w:proofErr w:type="spellStart"/>
            <w:r w:rsidRPr="00265541">
              <w:rPr>
                <w:sz w:val="14"/>
                <w:szCs w:val="14"/>
                <w:lang w:val="en-US"/>
              </w:rPr>
              <w:t>en</w:t>
            </w:r>
            <w:proofErr w:type="spellEnd"/>
            <w:r w:rsidRPr="00265541">
              <w:rPr>
                <w:sz w:val="14"/>
                <w:szCs w:val="14"/>
                <w:lang w:val="en-US"/>
              </w:rPr>
              <w:t xml:space="preserve"> </w:t>
            </w:r>
            <w:proofErr w:type="spellStart"/>
            <w:r w:rsidRPr="00265541">
              <w:rPr>
                <w:sz w:val="14"/>
                <w:szCs w:val="14"/>
                <w:lang w:val="en-US"/>
              </w:rPr>
              <w:t>incassobureaus</w:t>
            </w:r>
            <w:proofErr w:type="spellEnd"/>
            <w:r w:rsidRPr="00265541">
              <w:rPr>
                <w:sz w:val="14"/>
                <w:szCs w:val="14"/>
                <w:lang w:val="en-US"/>
              </w:rPr>
              <w:t xml:space="preserve"> </w:t>
            </w:r>
          </w:p>
        </w:tc>
      </w:tr>
      <w:tr w:rsidR="007E2F66" w:rsidRPr="00765E09" w14:paraId="1ED4BF1B" w14:textId="77777777" w:rsidTr="003E7005">
        <w:trPr>
          <w:tblCellSpacing w:w="75" w:type="dxa"/>
        </w:trPr>
        <w:tc>
          <w:tcPr>
            <w:tcW w:w="0" w:type="auto"/>
          </w:tcPr>
          <w:p w14:paraId="1AF2134E" w14:textId="77777777" w:rsidR="007E2F66" w:rsidRPr="00265541" w:rsidRDefault="007E2F66" w:rsidP="003E3983">
            <w:pPr>
              <w:rPr>
                <w:sz w:val="14"/>
                <w:szCs w:val="14"/>
                <w:lang w:val="en-US"/>
              </w:rPr>
            </w:pPr>
            <w:proofErr w:type="spellStart"/>
            <w:r w:rsidRPr="00265541">
              <w:rPr>
                <w:sz w:val="14"/>
                <w:szCs w:val="14"/>
                <w:lang w:val="en-US"/>
              </w:rPr>
              <w:t>overige</w:t>
            </w:r>
            <w:proofErr w:type="spellEnd"/>
            <w:r w:rsidRPr="00265541">
              <w:rPr>
                <w:sz w:val="14"/>
                <w:szCs w:val="14"/>
                <w:lang w:val="en-US"/>
              </w:rPr>
              <w:t xml:space="preserve"> </w:t>
            </w:r>
            <w:proofErr w:type="spellStart"/>
            <w:r w:rsidRPr="00265541">
              <w:rPr>
                <w:sz w:val="14"/>
                <w:szCs w:val="14"/>
                <w:lang w:val="en-US"/>
              </w:rPr>
              <w:t>opdrachtgevers</w:t>
            </w:r>
            <w:proofErr w:type="spellEnd"/>
            <w:r w:rsidRPr="00265541">
              <w:rPr>
                <w:sz w:val="14"/>
                <w:szCs w:val="14"/>
                <w:lang w:val="en-US"/>
              </w:rPr>
              <w:t>:</w:t>
            </w:r>
          </w:p>
        </w:tc>
        <w:tc>
          <w:tcPr>
            <w:tcW w:w="8338" w:type="dxa"/>
          </w:tcPr>
          <w:p w14:paraId="53DB4AE3" w14:textId="77777777" w:rsidR="007E2F66" w:rsidRPr="00265541" w:rsidRDefault="007E2F66" w:rsidP="003E3983">
            <w:pPr>
              <w:rPr>
                <w:sz w:val="14"/>
                <w:szCs w:val="14"/>
              </w:rPr>
            </w:pPr>
            <w:r w:rsidRPr="00265541">
              <w:rPr>
                <w:sz w:val="14"/>
                <w:szCs w:val="14"/>
              </w:rPr>
              <w:t xml:space="preserve">opdrachtgevers die niet als tussenpersoon kunnen worden aangemerkt </w:t>
            </w:r>
          </w:p>
        </w:tc>
      </w:tr>
      <w:tr w:rsidR="007E2F66" w:rsidRPr="00765E09" w14:paraId="1A16E9E2" w14:textId="77777777" w:rsidTr="003E7005">
        <w:trPr>
          <w:tblCellSpacing w:w="75" w:type="dxa"/>
        </w:trPr>
        <w:tc>
          <w:tcPr>
            <w:tcW w:w="0" w:type="auto"/>
          </w:tcPr>
          <w:p w14:paraId="62B44413" w14:textId="77777777" w:rsidR="007E2F66" w:rsidRPr="00265541" w:rsidRDefault="007E2F66" w:rsidP="003E3983">
            <w:pPr>
              <w:rPr>
                <w:sz w:val="14"/>
                <w:szCs w:val="14"/>
                <w:lang w:val="en-US"/>
              </w:rPr>
            </w:pPr>
            <w:proofErr w:type="spellStart"/>
            <w:r w:rsidRPr="00265541">
              <w:rPr>
                <w:sz w:val="14"/>
                <w:szCs w:val="14"/>
                <w:lang w:val="en-US"/>
              </w:rPr>
              <w:t>werkzaamheden</w:t>
            </w:r>
            <w:proofErr w:type="spellEnd"/>
            <w:r w:rsidRPr="00265541">
              <w:rPr>
                <w:sz w:val="14"/>
                <w:szCs w:val="14"/>
                <w:lang w:val="en-US"/>
              </w:rPr>
              <w:t>:</w:t>
            </w:r>
          </w:p>
        </w:tc>
        <w:tc>
          <w:tcPr>
            <w:tcW w:w="8338" w:type="dxa"/>
          </w:tcPr>
          <w:p w14:paraId="38A481DE" w14:textId="77777777" w:rsidR="007E2F66" w:rsidRPr="00265541" w:rsidRDefault="007E2F66" w:rsidP="003E3983">
            <w:pPr>
              <w:rPr>
                <w:sz w:val="14"/>
                <w:szCs w:val="14"/>
              </w:rPr>
            </w:pPr>
            <w:r w:rsidRPr="00265541">
              <w:rPr>
                <w:sz w:val="14"/>
                <w:szCs w:val="14"/>
              </w:rPr>
              <w:t xml:space="preserve">alle in opdracht van de opdrachtgever door de opdrachtnemer verrichte en te verrichten ambtelijke en niet-ambtelijke werkzaamheden </w:t>
            </w:r>
          </w:p>
        </w:tc>
      </w:tr>
      <w:tr w:rsidR="007E2F66" w:rsidRPr="00765E09" w14:paraId="6A132D8A" w14:textId="77777777" w:rsidTr="003E7005">
        <w:trPr>
          <w:tblCellSpacing w:w="75" w:type="dxa"/>
        </w:trPr>
        <w:tc>
          <w:tcPr>
            <w:tcW w:w="0" w:type="auto"/>
          </w:tcPr>
          <w:p w14:paraId="7C173A78" w14:textId="77777777" w:rsidR="007E2F66" w:rsidRPr="00265541" w:rsidRDefault="007E2F66" w:rsidP="003E3983">
            <w:pPr>
              <w:rPr>
                <w:sz w:val="14"/>
                <w:szCs w:val="14"/>
                <w:lang w:val="en-US"/>
              </w:rPr>
            </w:pPr>
            <w:proofErr w:type="spellStart"/>
            <w:r w:rsidRPr="00265541">
              <w:rPr>
                <w:sz w:val="14"/>
                <w:szCs w:val="14"/>
                <w:lang w:val="en-US"/>
              </w:rPr>
              <w:t>ambtelijke</w:t>
            </w:r>
            <w:proofErr w:type="spellEnd"/>
            <w:r w:rsidRPr="00265541">
              <w:rPr>
                <w:sz w:val="14"/>
                <w:szCs w:val="14"/>
                <w:lang w:val="en-US"/>
              </w:rPr>
              <w:t xml:space="preserve"> </w:t>
            </w:r>
            <w:proofErr w:type="spellStart"/>
            <w:r w:rsidRPr="00265541">
              <w:rPr>
                <w:sz w:val="14"/>
                <w:szCs w:val="14"/>
                <w:lang w:val="en-US"/>
              </w:rPr>
              <w:t>werkzaamheden</w:t>
            </w:r>
            <w:proofErr w:type="spellEnd"/>
            <w:r w:rsidRPr="00265541">
              <w:rPr>
                <w:sz w:val="14"/>
                <w:szCs w:val="14"/>
                <w:lang w:val="en-US"/>
              </w:rPr>
              <w:t>:</w:t>
            </w:r>
          </w:p>
        </w:tc>
        <w:tc>
          <w:tcPr>
            <w:tcW w:w="8338" w:type="dxa"/>
          </w:tcPr>
          <w:p w14:paraId="222B16B7" w14:textId="77777777" w:rsidR="007E2F66" w:rsidRPr="00265541" w:rsidRDefault="007E2F66" w:rsidP="003E3983">
            <w:pPr>
              <w:rPr>
                <w:sz w:val="14"/>
                <w:szCs w:val="14"/>
              </w:rPr>
            </w:pPr>
            <w:r w:rsidRPr="00265541">
              <w:rPr>
                <w:sz w:val="14"/>
                <w:szCs w:val="14"/>
              </w:rPr>
              <w:t xml:space="preserve">de werkzaamheden als bedoeld in artikel 2 van de Gerechtsdeurwaarderswet </w:t>
            </w:r>
          </w:p>
        </w:tc>
      </w:tr>
      <w:tr w:rsidR="007E2F66" w:rsidRPr="00765E09" w14:paraId="32E463A3" w14:textId="77777777" w:rsidTr="003E7005">
        <w:trPr>
          <w:tblCellSpacing w:w="75" w:type="dxa"/>
        </w:trPr>
        <w:tc>
          <w:tcPr>
            <w:tcW w:w="0" w:type="auto"/>
          </w:tcPr>
          <w:p w14:paraId="7CC6F6C6" w14:textId="77777777" w:rsidR="007E2F66" w:rsidRPr="00265541" w:rsidRDefault="007E2F66" w:rsidP="003E3983">
            <w:pPr>
              <w:rPr>
                <w:sz w:val="14"/>
                <w:szCs w:val="14"/>
                <w:lang w:val="en-US"/>
              </w:rPr>
            </w:pPr>
            <w:proofErr w:type="spellStart"/>
            <w:r w:rsidRPr="00265541">
              <w:rPr>
                <w:sz w:val="14"/>
                <w:szCs w:val="14"/>
                <w:lang w:val="en-US"/>
              </w:rPr>
              <w:t>niet-ambtelijke</w:t>
            </w:r>
            <w:proofErr w:type="spellEnd"/>
            <w:r w:rsidRPr="00265541">
              <w:rPr>
                <w:sz w:val="14"/>
                <w:szCs w:val="14"/>
                <w:lang w:val="en-US"/>
              </w:rPr>
              <w:t xml:space="preserve"> </w:t>
            </w:r>
            <w:proofErr w:type="spellStart"/>
            <w:r w:rsidRPr="00265541">
              <w:rPr>
                <w:sz w:val="14"/>
                <w:szCs w:val="14"/>
                <w:lang w:val="en-US"/>
              </w:rPr>
              <w:t>werkzaamheden</w:t>
            </w:r>
            <w:proofErr w:type="spellEnd"/>
            <w:r w:rsidRPr="00265541">
              <w:rPr>
                <w:sz w:val="14"/>
                <w:szCs w:val="14"/>
                <w:lang w:val="en-US"/>
              </w:rPr>
              <w:t>:</w:t>
            </w:r>
          </w:p>
        </w:tc>
        <w:tc>
          <w:tcPr>
            <w:tcW w:w="8338" w:type="dxa"/>
          </w:tcPr>
          <w:p w14:paraId="77F5FC7E" w14:textId="77777777" w:rsidR="007E2F66" w:rsidRPr="00265541" w:rsidRDefault="007E2F66" w:rsidP="003E3983">
            <w:pPr>
              <w:rPr>
                <w:sz w:val="14"/>
                <w:szCs w:val="14"/>
              </w:rPr>
            </w:pPr>
            <w:r w:rsidRPr="00265541">
              <w:rPr>
                <w:sz w:val="14"/>
                <w:szCs w:val="14"/>
              </w:rPr>
              <w:t xml:space="preserve">de werkzaamheden die niet vallen onder de definitie van ambtelijke werkzaamheden </w:t>
            </w:r>
          </w:p>
        </w:tc>
      </w:tr>
      <w:tr w:rsidR="007E2F66" w:rsidRPr="00765E09" w14:paraId="4EBFDF64" w14:textId="77777777" w:rsidTr="003E7005">
        <w:trPr>
          <w:tblCellSpacing w:w="75" w:type="dxa"/>
        </w:trPr>
        <w:tc>
          <w:tcPr>
            <w:tcW w:w="0" w:type="auto"/>
          </w:tcPr>
          <w:p w14:paraId="7ECF3369" w14:textId="77777777" w:rsidR="007E2F66" w:rsidRPr="00265541" w:rsidRDefault="007E2F66" w:rsidP="003E3983">
            <w:pPr>
              <w:rPr>
                <w:sz w:val="14"/>
                <w:szCs w:val="14"/>
                <w:lang w:val="en-US"/>
              </w:rPr>
            </w:pPr>
            <w:proofErr w:type="spellStart"/>
            <w:r w:rsidRPr="00265541">
              <w:rPr>
                <w:sz w:val="14"/>
                <w:szCs w:val="14"/>
                <w:lang w:val="en-US"/>
              </w:rPr>
              <w:t>opdrachtgeverstarief</w:t>
            </w:r>
            <w:proofErr w:type="spellEnd"/>
            <w:r w:rsidRPr="00265541">
              <w:rPr>
                <w:sz w:val="14"/>
                <w:szCs w:val="14"/>
                <w:lang w:val="en-US"/>
              </w:rPr>
              <w:t>:</w:t>
            </w:r>
          </w:p>
        </w:tc>
        <w:tc>
          <w:tcPr>
            <w:tcW w:w="8338" w:type="dxa"/>
          </w:tcPr>
          <w:p w14:paraId="6DF4431F" w14:textId="77777777" w:rsidR="007E2F66" w:rsidRPr="00265541" w:rsidRDefault="007E2F66" w:rsidP="003E3983">
            <w:pPr>
              <w:rPr>
                <w:sz w:val="14"/>
                <w:szCs w:val="14"/>
              </w:rPr>
            </w:pPr>
            <w:r w:rsidRPr="00265541">
              <w:rPr>
                <w:sz w:val="14"/>
                <w:szCs w:val="14"/>
              </w:rPr>
              <w:t xml:space="preserve">tarief dat de opdrachtnemer aan de opdrachtgever conform de onderhavige algemene voorwaarden in rekening brengt </w:t>
            </w:r>
          </w:p>
        </w:tc>
      </w:tr>
      <w:tr w:rsidR="007E2F66" w:rsidRPr="00765E09" w14:paraId="75DBFD24" w14:textId="77777777" w:rsidTr="003E7005">
        <w:trPr>
          <w:tblCellSpacing w:w="75" w:type="dxa"/>
        </w:trPr>
        <w:tc>
          <w:tcPr>
            <w:tcW w:w="0" w:type="auto"/>
          </w:tcPr>
          <w:p w14:paraId="31E9E528" w14:textId="77777777" w:rsidR="007E2F66" w:rsidRPr="00265541" w:rsidRDefault="007E2F66" w:rsidP="003E3983">
            <w:pPr>
              <w:rPr>
                <w:sz w:val="14"/>
                <w:szCs w:val="14"/>
                <w:lang w:val="en-US"/>
              </w:rPr>
            </w:pPr>
            <w:proofErr w:type="spellStart"/>
            <w:r w:rsidRPr="00265541">
              <w:rPr>
                <w:sz w:val="14"/>
                <w:szCs w:val="14"/>
                <w:lang w:val="en-US"/>
              </w:rPr>
              <w:t>schuldenaarstarief</w:t>
            </w:r>
            <w:proofErr w:type="spellEnd"/>
            <w:r w:rsidRPr="00265541">
              <w:rPr>
                <w:sz w:val="14"/>
                <w:szCs w:val="14"/>
                <w:lang w:val="en-US"/>
              </w:rPr>
              <w:t>:</w:t>
            </w:r>
          </w:p>
        </w:tc>
        <w:tc>
          <w:tcPr>
            <w:tcW w:w="8338" w:type="dxa"/>
          </w:tcPr>
          <w:p w14:paraId="75090399" w14:textId="77777777" w:rsidR="007E2F66" w:rsidRPr="00265541" w:rsidRDefault="007E2F66" w:rsidP="003E3983">
            <w:pPr>
              <w:rPr>
                <w:sz w:val="14"/>
                <w:szCs w:val="14"/>
              </w:rPr>
            </w:pPr>
            <w:r w:rsidRPr="00265541">
              <w:rPr>
                <w:sz w:val="14"/>
                <w:szCs w:val="14"/>
              </w:rPr>
              <w:t xml:space="preserve">tarief ingevolge het bepaalde in het Besluit Tarieven Ambtshandelingen Gerechtsdeurwaarders (BTAG) </w:t>
            </w:r>
          </w:p>
        </w:tc>
      </w:tr>
      <w:tr w:rsidR="007E2F66" w:rsidRPr="00765E09" w14:paraId="02C2B09C" w14:textId="77777777" w:rsidTr="003E7005">
        <w:trPr>
          <w:tblCellSpacing w:w="75" w:type="dxa"/>
        </w:trPr>
        <w:tc>
          <w:tcPr>
            <w:tcW w:w="0" w:type="auto"/>
          </w:tcPr>
          <w:p w14:paraId="138B31F6" w14:textId="77777777" w:rsidR="007E2F66" w:rsidRPr="00265541" w:rsidRDefault="007E2F66" w:rsidP="003E3983">
            <w:pPr>
              <w:rPr>
                <w:sz w:val="14"/>
                <w:szCs w:val="14"/>
                <w:lang w:val="en-US"/>
              </w:rPr>
            </w:pPr>
            <w:proofErr w:type="spellStart"/>
            <w:r w:rsidRPr="00265541">
              <w:rPr>
                <w:sz w:val="14"/>
                <w:szCs w:val="14"/>
                <w:lang w:val="en-US"/>
              </w:rPr>
              <w:t>geïncasseerde</w:t>
            </w:r>
            <w:proofErr w:type="spellEnd"/>
            <w:r w:rsidRPr="00265541">
              <w:rPr>
                <w:sz w:val="14"/>
                <w:szCs w:val="14"/>
                <w:lang w:val="en-US"/>
              </w:rPr>
              <w:t xml:space="preserve"> </w:t>
            </w:r>
            <w:proofErr w:type="spellStart"/>
            <w:r w:rsidRPr="00265541">
              <w:rPr>
                <w:sz w:val="14"/>
                <w:szCs w:val="14"/>
                <w:lang w:val="en-US"/>
              </w:rPr>
              <w:t>bedragen</w:t>
            </w:r>
            <w:proofErr w:type="spellEnd"/>
            <w:r w:rsidRPr="00265541">
              <w:rPr>
                <w:sz w:val="14"/>
                <w:szCs w:val="14"/>
                <w:lang w:val="en-US"/>
              </w:rPr>
              <w:t>:</w:t>
            </w:r>
          </w:p>
        </w:tc>
        <w:tc>
          <w:tcPr>
            <w:tcW w:w="8338" w:type="dxa"/>
          </w:tcPr>
          <w:p w14:paraId="5E0862C9" w14:textId="77777777" w:rsidR="007E2F66" w:rsidRPr="00265541" w:rsidRDefault="007E2F66" w:rsidP="003E3983">
            <w:pPr>
              <w:rPr>
                <w:sz w:val="14"/>
                <w:szCs w:val="14"/>
              </w:rPr>
            </w:pPr>
            <w:r w:rsidRPr="00265541">
              <w:rPr>
                <w:sz w:val="14"/>
                <w:szCs w:val="14"/>
              </w:rPr>
              <w:t xml:space="preserve">de bedragen die na opdrachtverlening door of vanwege de schuldenaar aan de opdrachtnemer, de opdrachtgever of aan een derde worden voldaan </w:t>
            </w:r>
          </w:p>
        </w:tc>
      </w:tr>
      <w:tr w:rsidR="007E2F66" w:rsidRPr="00765E09" w14:paraId="5F627164" w14:textId="77777777" w:rsidTr="003E7005">
        <w:trPr>
          <w:tblCellSpacing w:w="75" w:type="dxa"/>
        </w:trPr>
        <w:tc>
          <w:tcPr>
            <w:tcW w:w="0" w:type="auto"/>
          </w:tcPr>
          <w:p w14:paraId="01FE0041" w14:textId="77777777" w:rsidR="007E2F66" w:rsidRPr="00265541" w:rsidRDefault="007E2F66" w:rsidP="003E3983">
            <w:pPr>
              <w:rPr>
                <w:sz w:val="14"/>
                <w:szCs w:val="14"/>
                <w:lang w:val="en-US"/>
              </w:rPr>
            </w:pPr>
            <w:proofErr w:type="spellStart"/>
            <w:r w:rsidRPr="00265541">
              <w:rPr>
                <w:sz w:val="14"/>
                <w:szCs w:val="14"/>
                <w:lang w:val="en-US"/>
              </w:rPr>
              <w:t>afwikkelingskosten</w:t>
            </w:r>
            <w:proofErr w:type="spellEnd"/>
            <w:r w:rsidRPr="00265541">
              <w:rPr>
                <w:sz w:val="14"/>
                <w:szCs w:val="14"/>
                <w:lang w:val="en-US"/>
              </w:rPr>
              <w:t>:</w:t>
            </w:r>
          </w:p>
        </w:tc>
        <w:tc>
          <w:tcPr>
            <w:tcW w:w="8338" w:type="dxa"/>
          </w:tcPr>
          <w:p w14:paraId="085C7E35" w14:textId="77777777" w:rsidR="007E2F66" w:rsidRPr="00265541" w:rsidRDefault="007E2F66" w:rsidP="003E3983">
            <w:pPr>
              <w:rPr>
                <w:sz w:val="14"/>
                <w:szCs w:val="14"/>
              </w:rPr>
            </w:pPr>
            <w:r w:rsidRPr="00265541">
              <w:rPr>
                <w:sz w:val="14"/>
                <w:szCs w:val="14"/>
              </w:rPr>
              <w:t xml:space="preserve">de kosten die de opdrachtnemer berekent voor zijn werkzaamheden ter afwikkeling van zaken, nadat een procedure aanhangig is gemaakt of een executoriale titel aan hem ter afdoening ter hand is gesteld </w:t>
            </w:r>
          </w:p>
        </w:tc>
      </w:tr>
      <w:tr w:rsidR="007E2F66" w:rsidRPr="00765E09" w14:paraId="16D334F0" w14:textId="77777777" w:rsidTr="003E7005">
        <w:trPr>
          <w:tblCellSpacing w:w="75" w:type="dxa"/>
        </w:trPr>
        <w:tc>
          <w:tcPr>
            <w:tcW w:w="0" w:type="auto"/>
          </w:tcPr>
          <w:p w14:paraId="5EA5001B" w14:textId="77777777" w:rsidR="007E2F66" w:rsidRPr="00265541" w:rsidRDefault="007E2F66" w:rsidP="003E3983">
            <w:pPr>
              <w:rPr>
                <w:sz w:val="14"/>
                <w:szCs w:val="14"/>
                <w:lang w:val="en-US"/>
              </w:rPr>
            </w:pPr>
            <w:proofErr w:type="spellStart"/>
            <w:r w:rsidRPr="00265541">
              <w:rPr>
                <w:sz w:val="14"/>
                <w:szCs w:val="14"/>
                <w:lang w:val="en-US"/>
              </w:rPr>
              <w:t>verschotten</w:t>
            </w:r>
            <w:proofErr w:type="spellEnd"/>
            <w:r w:rsidRPr="00265541">
              <w:rPr>
                <w:sz w:val="14"/>
                <w:szCs w:val="14"/>
                <w:lang w:val="en-US"/>
              </w:rPr>
              <w:t>:</w:t>
            </w:r>
          </w:p>
        </w:tc>
        <w:tc>
          <w:tcPr>
            <w:tcW w:w="8338" w:type="dxa"/>
          </w:tcPr>
          <w:p w14:paraId="7B020052" w14:textId="77777777" w:rsidR="007E2F66" w:rsidRPr="00265541" w:rsidRDefault="007E2F66" w:rsidP="003E3983">
            <w:pPr>
              <w:rPr>
                <w:sz w:val="14"/>
                <w:szCs w:val="14"/>
              </w:rPr>
            </w:pPr>
            <w:r w:rsidRPr="00265541">
              <w:rPr>
                <w:sz w:val="14"/>
                <w:szCs w:val="14"/>
              </w:rPr>
              <w:t>de kosten die gemaakt worden voor het verkrijgen van informatie van derden en het inschakelen van derden bij het uitvoeren van enige opdracht</w:t>
            </w:r>
          </w:p>
        </w:tc>
      </w:tr>
      <w:tr w:rsidR="007E2F66" w:rsidRPr="00765E09" w14:paraId="7C3EE85D" w14:textId="77777777" w:rsidTr="003E7005">
        <w:trPr>
          <w:tblCellSpacing w:w="75" w:type="dxa"/>
        </w:trPr>
        <w:tc>
          <w:tcPr>
            <w:tcW w:w="0" w:type="auto"/>
          </w:tcPr>
          <w:p w14:paraId="3FA2AB70" w14:textId="77777777" w:rsidR="007E2F66" w:rsidRPr="00265541" w:rsidRDefault="007E2F66" w:rsidP="003E3983">
            <w:pPr>
              <w:rPr>
                <w:sz w:val="14"/>
                <w:szCs w:val="14"/>
                <w:lang w:val="en-US"/>
              </w:rPr>
            </w:pPr>
            <w:proofErr w:type="spellStart"/>
            <w:r w:rsidRPr="00265541">
              <w:rPr>
                <w:sz w:val="14"/>
                <w:szCs w:val="14"/>
                <w:lang w:val="en-US"/>
              </w:rPr>
              <w:t>salaris</w:t>
            </w:r>
            <w:proofErr w:type="spellEnd"/>
            <w:r w:rsidRPr="00265541">
              <w:rPr>
                <w:sz w:val="14"/>
                <w:szCs w:val="14"/>
                <w:lang w:val="en-US"/>
              </w:rPr>
              <w:t xml:space="preserve"> </w:t>
            </w:r>
            <w:proofErr w:type="spellStart"/>
            <w:r w:rsidRPr="00265541">
              <w:rPr>
                <w:sz w:val="14"/>
                <w:szCs w:val="14"/>
                <w:lang w:val="en-US"/>
              </w:rPr>
              <w:t>gemachtigde</w:t>
            </w:r>
            <w:proofErr w:type="spellEnd"/>
          </w:p>
        </w:tc>
        <w:tc>
          <w:tcPr>
            <w:tcW w:w="8338" w:type="dxa"/>
          </w:tcPr>
          <w:p w14:paraId="5E97AFC4" w14:textId="77777777" w:rsidR="007E2F66" w:rsidRPr="00265541" w:rsidRDefault="007E2F66" w:rsidP="003E3983">
            <w:pPr>
              <w:rPr>
                <w:sz w:val="14"/>
                <w:szCs w:val="14"/>
              </w:rPr>
            </w:pPr>
            <w:r w:rsidRPr="00265541">
              <w:rPr>
                <w:sz w:val="14"/>
                <w:szCs w:val="14"/>
              </w:rPr>
              <w:t>vastgestelde vergoeding voor werkzaamheden van de gemachtigde in een gerechtelijke procedure</w:t>
            </w:r>
          </w:p>
        </w:tc>
      </w:tr>
    </w:tbl>
    <w:p w14:paraId="146522C9" w14:textId="72FEC52B" w:rsidR="001A1BA4" w:rsidRDefault="001A1BA4" w:rsidP="003E3983"/>
    <w:p w14:paraId="392F850D" w14:textId="08AE2DCD" w:rsidR="00265541" w:rsidRPr="00265541" w:rsidRDefault="00F8404F" w:rsidP="00F8404F">
      <w:pPr>
        <w:rPr>
          <w:rFonts w:cs="Times New Roman"/>
          <w:bCs w:val="0"/>
          <w:lang w:eastAsia="nl-NL"/>
        </w:rPr>
      </w:pPr>
      <w:r>
        <w:rPr>
          <w:rFonts w:cs="Times New Roman"/>
          <w:bCs w:val="0"/>
          <w:lang w:eastAsia="nl-NL"/>
        </w:rPr>
        <w:t xml:space="preserve">Gerechtsdeurwaarderskantoor De </w:t>
      </w:r>
      <w:r w:rsidR="00265541" w:rsidRPr="00265541">
        <w:rPr>
          <w:rFonts w:cs="Times New Roman"/>
          <w:bCs w:val="0"/>
          <w:lang w:eastAsia="nl-NL"/>
        </w:rPr>
        <w:t xml:space="preserve">Kluijver is aangesloten bij het Keurmerk (SVI) en voert haar werkzaamheden uit conform de eisen van dat keurmerk. Meer hierover kunt u op onze website vinden. </w:t>
      </w:r>
    </w:p>
    <w:p w14:paraId="3EBB7976" w14:textId="77777777" w:rsidR="00F8404F" w:rsidRDefault="00F8404F" w:rsidP="003E3983"/>
    <w:p w14:paraId="06F43B2F" w14:textId="77777777" w:rsidR="007E2F66" w:rsidRPr="001A1BA4" w:rsidRDefault="007E2F66" w:rsidP="003E3983">
      <w:pPr>
        <w:rPr>
          <w:b/>
        </w:rPr>
      </w:pPr>
      <w:r w:rsidRPr="001A1BA4">
        <w:rPr>
          <w:b/>
        </w:rPr>
        <w:t>2. werkzaamheden</w:t>
      </w:r>
    </w:p>
    <w:p w14:paraId="628F3C75" w14:textId="77777777" w:rsidR="007E2F66" w:rsidRPr="00765E09" w:rsidRDefault="007E2F66" w:rsidP="003E3983"/>
    <w:p w14:paraId="2C0F5229" w14:textId="77777777" w:rsidR="007E2F66" w:rsidRPr="00765E09" w:rsidRDefault="007E2F66" w:rsidP="003E3983">
      <w:pPr>
        <w:rPr>
          <w:b/>
          <w:u w:val="single"/>
        </w:rPr>
      </w:pPr>
      <w:r w:rsidRPr="00765E09">
        <w:rPr>
          <w:b/>
          <w:u w:val="single"/>
        </w:rPr>
        <w:t>2.1. minnelijke fase:</w:t>
      </w:r>
      <w:r w:rsidRPr="00765E09">
        <w:t xml:space="preserve"> </w:t>
      </w:r>
      <w:r w:rsidRPr="00765E09">
        <w:br/>
        <w:t xml:space="preserve">Dit betreft de fase waarin opdracht aan de opdrachtnemer wordt gegeven tot het verrichten van ambtelijke en niet-ambtelijke werkzaamheden tot het moment dat er gerechtelijke maatregelen dienen te worden genomen. De werkzaamheden tijdens deze fase omvatten: het beoordelen van een vordering op juridische, financiële en praktische haalbaarheid, het aanmanen van de schuldenaar, het corresponderen met de schuldenaar of diens gemachtigde, het voeren van overleg met de opdrachtgever, het plegen van </w:t>
      </w:r>
      <w:proofErr w:type="spellStart"/>
      <w:r w:rsidRPr="00765E09">
        <w:t>verhaalsonderzoek</w:t>
      </w:r>
      <w:proofErr w:type="spellEnd"/>
      <w:r w:rsidRPr="00765E09">
        <w:t xml:space="preserve">, het beoordelen van betalingsvoorstellen, het administreren en bewaken van betalingsregelingen, het verrichten van incassowerkzaamheden. </w:t>
      </w:r>
      <w:r w:rsidRPr="00765E09">
        <w:br/>
      </w:r>
    </w:p>
    <w:p w14:paraId="62CFB9D2" w14:textId="77777777" w:rsidR="00650EB5" w:rsidRDefault="007E2F66" w:rsidP="003E3983">
      <w:r w:rsidRPr="00765E09">
        <w:rPr>
          <w:b/>
          <w:u w:val="single"/>
        </w:rPr>
        <w:t>2.2. processuele fase:</w:t>
      </w:r>
      <w:r w:rsidRPr="00765E09">
        <w:t xml:space="preserve"> </w:t>
      </w:r>
      <w:r w:rsidRPr="00765E09">
        <w:br/>
        <w:t xml:space="preserve">Deze fase vangt aan op het moment dat in de minnelijke fase geen of onvoldoende resultaat wordt bereikt en opdracht aan de opdrachtnemer wordt gegeven tot het verrichten van ambtelijke en niet-ambtelijke werkzaamheden tot het moment dat er executoriale maatregelen dienen te worden genomen. De werkzaamheden tijdens deze fase omvatten: het bepalen van de processtrategie, de te nemen gerechtelijke en eventuele bewarende maatregelen, het verrichten van </w:t>
      </w:r>
      <w:proofErr w:type="spellStart"/>
      <w:r w:rsidRPr="00765E09">
        <w:t>procesinleidende</w:t>
      </w:r>
      <w:proofErr w:type="spellEnd"/>
      <w:r w:rsidRPr="00765E09">
        <w:t xml:space="preserve"> ambtshandelingen, het indienen en/of </w:t>
      </w:r>
      <w:proofErr w:type="spellStart"/>
      <w:r w:rsidRPr="00765E09">
        <w:t>doorleiden</w:t>
      </w:r>
      <w:proofErr w:type="spellEnd"/>
      <w:r w:rsidRPr="00765E09">
        <w:t xml:space="preserve"> van stukken, het verrichten van rolhandelingen, het waarnemen van zittingen met betrekking tot vorderingen van tussenpersonen, het voeren van een gerechtelijke procedure met betrekking tot vorderingen van overige opdrachtgevers, het beoordelen van het vonnis ten opzichte van de ingestelde vordering en het daarbij adviseren omtrent de mogelijkheden en kansen voor het instellen van rechtsmiddelen tegen het vonnis. </w:t>
      </w:r>
    </w:p>
    <w:p w14:paraId="56189FB4" w14:textId="77777777" w:rsidR="00650EB5" w:rsidRPr="00650EB5" w:rsidRDefault="00650EB5" w:rsidP="003E3983"/>
    <w:p w14:paraId="09B3A43F" w14:textId="77777777" w:rsidR="007E2F66" w:rsidRPr="00765E09" w:rsidRDefault="007E2F66" w:rsidP="003E3983">
      <w:r w:rsidRPr="00765E09">
        <w:rPr>
          <w:b/>
          <w:u w:val="single"/>
        </w:rPr>
        <w:t>2.3. executoriale fase:</w:t>
      </w:r>
      <w:r w:rsidRPr="00765E09">
        <w:t xml:space="preserve"> </w:t>
      </w:r>
      <w:r w:rsidRPr="00765E09">
        <w:br/>
        <w:t xml:space="preserve">Dit betreft de fase waarin een gerechtelijke beslissing of anderszins voor executie vatbare titel voorligt en opdracht aan de opdrachtnemer wordt gegeven tot het verrichten van ambtelijke en </w:t>
      </w:r>
      <w:r w:rsidRPr="00765E09">
        <w:lastRenderedPageBreak/>
        <w:t xml:space="preserve">niet-ambtelijke werkzaamheden. De werkzaamheden tijdens deze fase omvatten: het betekenen (per exploot overhandigen) van de executoriale titel aan de schuldenaar, het beoordelen welke ambtshandelingen het meest effectief zouden moeten worden genomen om te komen tot nakoming van de in de titel opgenomen veroordeling, het verrichten van één of meer executoriale ambtshandelingen, het corresponderen met de schuldenaar of diens gemachtigde, het voeren van overleg met de opdrachtgever, het plegen van </w:t>
      </w:r>
      <w:proofErr w:type="spellStart"/>
      <w:r w:rsidRPr="00765E09">
        <w:t>verhaalsonderzoek</w:t>
      </w:r>
      <w:proofErr w:type="spellEnd"/>
      <w:r w:rsidRPr="00765E09">
        <w:t xml:space="preserve">, het beoordelen van betalingsvoorstellen, het administreren en bewaken van betalingsregelingen, het verrichten van incassowerkzaamheden. </w:t>
      </w:r>
      <w:r w:rsidRPr="00765E09">
        <w:br/>
      </w:r>
    </w:p>
    <w:p w14:paraId="11C103DF" w14:textId="77777777" w:rsidR="007E2F66" w:rsidRPr="00765E09" w:rsidRDefault="007E2F66" w:rsidP="003E3983">
      <w:r w:rsidRPr="00765E09">
        <w:rPr>
          <w:b/>
          <w:u w:val="single"/>
        </w:rPr>
        <w:t>2.4. adviesfase:</w:t>
      </w:r>
      <w:r w:rsidRPr="00765E09">
        <w:t xml:space="preserve"> </w:t>
      </w:r>
      <w:r w:rsidRPr="00765E09">
        <w:br/>
        <w:t xml:space="preserve">Dit betreft de fase waarin opdracht aan de opdrachtnemer wordt gegeven die niet betrekkelijk is tot het verrichten van ambtelijke en niet-ambtelijke werkzaamheden of procesvoering. De werkzaamheden tijdens deze fase omvatten: het beoordelen van (juridische) problemen, geven van adviezen, begeleiding en alle overige werkzaamheden, die door de opdrachtgever worden verlangd en door de opdrachtnemer aan opdrachtgevers worden aangeboden. </w:t>
      </w:r>
      <w:r w:rsidRPr="00765E09">
        <w:br/>
      </w:r>
    </w:p>
    <w:p w14:paraId="34BE3D22" w14:textId="77777777" w:rsidR="007E2F66" w:rsidRPr="00765E09" w:rsidRDefault="007E2F66" w:rsidP="003E3983">
      <w:r w:rsidRPr="00765E09">
        <w:rPr>
          <w:b/>
          <w:u w:val="single"/>
        </w:rPr>
        <w:t>2.5. opdrachtdatum:</w:t>
      </w:r>
      <w:r w:rsidRPr="00765E09">
        <w:t xml:space="preserve"> </w:t>
      </w:r>
      <w:r w:rsidRPr="00765E09">
        <w:br/>
        <w:t xml:space="preserve">Een opdracht tot het verrichten van werkzaamheden wordt geacht te zijn verleend op het moment dat die opdracht door de opdrachtnemer is ontvangen. </w:t>
      </w:r>
      <w:r w:rsidRPr="00765E09">
        <w:br/>
      </w:r>
    </w:p>
    <w:p w14:paraId="013C00E5" w14:textId="77777777" w:rsidR="007E2F66" w:rsidRPr="00765E09" w:rsidRDefault="007E2F66" w:rsidP="003E3983">
      <w:r w:rsidRPr="00765E09">
        <w:rPr>
          <w:b/>
          <w:u w:val="single"/>
        </w:rPr>
        <w:t>2.6. diensten van derden:</w:t>
      </w:r>
      <w:r w:rsidRPr="00765E09">
        <w:t xml:space="preserve"> </w:t>
      </w:r>
      <w:r w:rsidRPr="00765E09">
        <w:br/>
        <w:t xml:space="preserve">De opdrachtnemer is gerechtigd voor het (doen) verrichten van werkzaamheden de diensten van derden, gerechtsdeurwaarders en advocaten daaronder begrepen, in te roepen. </w:t>
      </w:r>
      <w:r w:rsidRPr="00765E09">
        <w:br/>
      </w:r>
    </w:p>
    <w:p w14:paraId="75FB05DD" w14:textId="77777777" w:rsidR="007E2F66" w:rsidRPr="001A1BA4" w:rsidRDefault="007E2F66" w:rsidP="003E3983">
      <w:pPr>
        <w:rPr>
          <w:b/>
        </w:rPr>
      </w:pPr>
      <w:r w:rsidRPr="001A1BA4">
        <w:rPr>
          <w:b/>
        </w:rPr>
        <w:t xml:space="preserve">3. tarieven ambtelijke werkzaamheden </w:t>
      </w:r>
      <w:r w:rsidRPr="001A1BA4">
        <w:rPr>
          <w:b/>
        </w:rPr>
        <w:br/>
      </w:r>
    </w:p>
    <w:p w14:paraId="3A1CE3BA" w14:textId="77777777" w:rsidR="007E2F66" w:rsidRPr="00765E09" w:rsidRDefault="007E2F66" w:rsidP="003E3983">
      <w:pPr>
        <w:rPr>
          <w:b/>
          <w:u w:val="single"/>
        </w:rPr>
      </w:pPr>
      <w:r w:rsidRPr="00765E09">
        <w:rPr>
          <w:b/>
          <w:u w:val="single"/>
        </w:rPr>
        <w:t>3.1. algemeen:</w:t>
      </w:r>
      <w:r w:rsidRPr="00765E09">
        <w:t xml:space="preserve"> </w:t>
      </w:r>
      <w:r w:rsidRPr="00765E09">
        <w:br/>
        <w:t xml:space="preserve">Voor een ambtshandeling zal een bedrag in rekening worden gebracht dat overeenkomt met het schuldenaarstarief ingevolge het bepaalde in het BTAG. De schuldenaarstarieven conform het BTAG staan vermeld op de website van opdrachtnemer, www.dekluijver.nl. </w:t>
      </w:r>
      <w:r w:rsidRPr="00765E09">
        <w:br/>
      </w:r>
      <w:r w:rsidRPr="00765E09">
        <w:rPr>
          <w:b/>
          <w:u w:val="single"/>
        </w:rPr>
        <w:t xml:space="preserve"> </w:t>
      </w:r>
    </w:p>
    <w:p w14:paraId="01591FEE" w14:textId="77777777" w:rsidR="007E2F66" w:rsidRPr="00765E09" w:rsidRDefault="007E2F66" w:rsidP="003E3983">
      <w:r w:rsidRPr="00765E09">
        <w:rPr>
          <w:b/>
          <w:u w:val="single"/>
        </w:rPr>
        <w:t>3.2. uitzonderingen:</w:t>
      </w:r>
      <w:r w:rsidRPr="00765E09">
        <w:t xml:space="preserve"> </w:t>
      </w:r>
      <w:r w:rsidRPr="00765E09">
        <w:br/>
      </w:r>
      <w:r w:rsidRPr="00765E09">
        <w:rPr>
          <w:b/>
        </w:rPr>
        <w:t>3.2.1.</w:t>
      </w:r>
      <w:r w:rsidRPr="00765E09">
        <w:t xml:space="preserve"> Indien de ambtshandeling op dezelfde dag als de dag van de verstrekking van de opdracht moet worden uitgevoerd, dan is opdrachtnemer gerechtigd het tarief als bedoeld in artikel 3.1. te verhogen met ten hoogste 50%. </w:t>
      </w:r>
      <w:r w:rsidRPr="00765E09">
        <w:br/>
      </w:r>
    </w:p>
    <w:p w14:paraId="532A9A44" w14:textId="77777777" w:rsidR="007E2F66" w:rsidRPr="00765E09" w:rsidRDefault="007E2F66" w:rsidP="003E3983">
      <w:r w:rsidRPr="00765E09">
        <w:rPr>
          <w:b/>
        </w:rPr>
        <w:t xml:space="preserve">3.2.2. </w:t>
      </w:r>
      <w:r w:rsidRPr="00765E09">
        <w:t xml:space="preserve">Indien de ambtshandeling na 18.00 uur of op een zaterdag, op een zondag, op een nationaal erkende feestdag of een daarmee gelijkgestelde dag dient te worden verricht, is de opdrachtnemer gerechtigd het tarief als bedoeld in artikel 3.1. te verhogen met ten hoogste 100%. </w:t>
      </w:r>
      <w:r w:rsidRPr="00765E09">
        <w:br/>
      </w:r>
    </w:p>
    <w:p w14:paraId="246D145F" w14:textId="77777777" w:rsidR="007E2F66" w:rsidRPr="00765E09" w:rsidRDefault="007E2F66" w:rsidP="003E3983">
      <w:r w:rsidRPr="00765E09">
        <w:rPr>
          <w:b/>
        </w:rPr>
        <w:t xml:space="preserve">3.2.3. </w:t>
      </w:r>
      <w:r w:rsidRPr="00765E09">
        <w:t xml:space="preserve">Als de ambtshandeling naar beoordeling van de opdrachtnemer een buitengewone hoeveelheid werkzaamheden met zich meebrengt, heeft de opdrachtnemer, na daartoe overleg met de opdrachtgever te hebben gevoerd, het recht om een extra tarief in rekening te brengen. </w:t>
      </w:r>
    </w:p>
    <w:p w14:paraId="07B35483" w14:textId="0C679E02" w:rsidR="004D52AA" w:rsidRPr="00E46C99" w:rsidRDefault="007E2F66" w:rsidP="003E3983">
      <w:r w:rsidRPr="00765E09">
        <w:t xml:space="preserve"> </w:t>
      </w:r>
      <w:r w:rsidRPr="00765E09">
        <w:br/>
      </w:r>
      <w:r w:rsidRPr="00765E09">
        <w:rPr>
          <w:b/>
          <w:u w:val="single"/>
        </w:rPr>
        <w:t>3.3. vergeefse ambtshandelingen:</w:t>
      </w:r>
      <w:r w:rsidRPr="00765E09">
        <w:t xml:space="preserve"> </w:t>
      </w:r>
      <w:r w:rsidRPr="00765E09">
        <w:br/>
        <w:t xml:space="preserve">Indien de te verrichten ambtshandelingen geen doorgang (kunnen) vinden door oorzaken die niet aan de opdrachtnemer zijn te wijten, is de opdrachtnemer gerechtigd € </w:t>
      </w:r>
      <w:r w:rsidR="0080382E">
        <w:t>42,50</w:t>
      </w:r>
      <w:r w:rsidRPr="00765E09">
        <w:t xml:space="preserve"> te berekenen, onverminderd al hetgeen is bepaald in de artikelen 3.2.1. tot en met 3.2.3. </w:t>
      </w:r>
    </w:p>
    <w:p w14:paraId="05BDCA75" w14:textId="77777777" w:rsidR="004D52AA" w:rsidRPr="001A1BA4" w:rsidRDefault="004D52AA" w:rsidP="003E3983">
      <w:pPr>
        <w:rPr>
          <w:b/>
        </w:rPr>
      </w:pPr>
    </w:p>
    <w:p w14:paraId="5D0CAC11" w14:textId="77777777" w:rsidR="007E2F66" w:rsidRPr="001A1BA4" w:rsidRDefault="007E2F66" w:rsidP="003E3983">
      <w:pPr>
        <w:rPr>
          <w:b/>
        </w:rPr>
      </w:pPr>
      <w:r w:rsidRPr="001A1BA4">
        <w:rPr>
          <w:b/>
        </w:rPr>
        <w:t>4. tarieven voor niet in het BTAG vermelde werkzaamheden</w:t>
      </w:r>
    </w:p>
    <w:p w14:paraId="4A31DF8B" w14:textId="77777777" w:rsidR="007E2F66" w:rsidRPr="00765E09" w:rsidRDefault="007E2F66" w:rsidP="003E3983"/>
    <w:p w14:paraId="7659A964" w14:textId="77777777" w:rsidR="007E2F66" w:rsidRPr="001A1BA4" w:rsidRDefault="007E2F66" w:rsidP="003E3983">
      <w:pPr>
        <w:rPr>
          <w:b/>
          <w:u w:val="single"/>
        </w:rPr>
      </w:pPr>
      <w:r w:rsidRPr="001A1BA4">
        <w:rPr>
          <w:b/>
          <w:u w:val="single"/>
        </w:rPr>
        <w:t>4.1. overzicht:</w:t>
      </w:r>
    </w:p>
    <w:p w14:paraId="68C44F9F" w14:textId="77777777" w:rsidR="007E2F66" w:rsidRPr="00765E09" w:rsidRDefault="007E2F66" w:rsidP="003E3983">
      <w:r w:rsidRPr="00765E09">
        <w:t>Als aanvulling op artikel 3 zullen voor de verrichting van de navolgende niet in het BTAG vermelde werkzaamheden, welke nimmer op de schuldenaar zi</w:t>
      </w:r>
      <w:r>
        <w:t>jn te verhalen, aan de opdracht</w:t>
      </w:r>
      <w:r w:rsidRPr="00765E09">
        <w:t>gever in rekening worden gebracht:</w:t>
      </w:r>
    </w:p>
    <w:p w14:paraId="4E2F6EFD" w14:textId="77777777" w:rsidR="004D52AA" w:rsidRDefault="004D52AA" w:rsidP="003E3983"/>
    <w:p w14:paraId="0CC1ACCA" w14:textId="587E3CB8" w:rsidR="007E2F66" w:rsidRPr="00765E09" w:rsidRDefault="007E2F66" w:rsidP="003E3983">
      <w:r w:rsidRPr="00765E09">
        <w:t>- sommatie-exploot</w:t>
      </w:r>
      <w:r w:rsidRPr="00765E09">
        <w:tab/>
      </w:r>
      <w:r w:rsidRPr="00765E09">
        <w:tab/>
      </w:r>
      <w:r w:rsidRPr="00765E09">
        <w:tab/>
        <w:t xml:space="preserve">€  </w:t>
      </w:r>
      <w:r>
        <w:t xml:space="preserve"> </w:t>
      </w:r>
      <w:r w:rsidR="00DC2B60">
        <w:t>7</w:t>
      </w:r>
      <w:r w:rsidR="0080382E">
        <w:t>6,50</w:t>
      </w:r>
    </w:p>
    <w:p w14:paraId="7D0E82CB" w14:textId="34DC55C5" w:rsidR="00DC2B60" w:rsidRDefault="007E2F66" w:rsidP="003E3983">
      <w:r w:rsidRPr="00765E09">
        <w:t>- herstelexploot</w:t>
      </w:r>
      <w:r w:rsidRPr="00765E09">
        <w:tab/>
      </w:r>
      <w:r w:rsidRPr="00765E09">
        <w:tab/>
      </w:r>
      <w:r w:rsidRPr="00765E09">
        <w:tab/>
        <w:t xml:space="preserve">€  </w:t>
      </w:r>
      <w:r>
        <w:t xml:space="preserve"> </w:t>
      </w:r>
      <w:r w:rsidRPr="00765E09">
        <w:t>7</w:t>
      </w:r>
      <w:r w:rsidR="0080382E">
        <w:t>6,50</w:t>
      </w:r>
    </w:p>
    <w:p w14:paraId="30BC958A" w14:textId="47660C2E" w:rsidR="007E2F66" w:rsidRPr="00765E09" w:rsidRDefault="007E2F66" w:rsidP="003E3983">
      <w:r w:rsidRPr="00765E09">
        <w:t>- betekening brief</w:t>
      </w:r>
      <w:r w:rsidRPr="00765E09">
        <w:tab/>
      </w:r>
      <w:r w:rsidRPr="00765E09">
        <w:tab/>
      </w:r>
      <w:r w:rsidRPr="00765E09">
        <w:tab/>
        <w:t xml:space="preserve">€  </w:t>
      </w:r>
      <w:r>
        <w:t xml:space="preserve"> </w:t>
      </w:r>
      <w:r w:rsidR="00DC2B60">
        <w:t>7</w:t>
      </w:r>
      <w:r w:rsidR="0080382E">
        <w:t>6,50</w:t>
      </w:r>
    </w:p>
    <w:p w14:paraId="4DC1A945" w14:textId="49D301B0" w:rsidR="007E2F66" w:rsidRPr="00765E09" w:rsidRDefault="007E2F66" w:rsidP="003E3983">
      <w:r w:rsidRPr="00765E09">
        <w:t>- opzegging bij exploot</w:t>
      </w:r>
      <w:r w:rsidRPr="00765E09">
        <w:tab/>
      </w:r>
      <w:r w:rsidRPr="00765E09">
        <w:tab/>
      </w:r>
      <w:r w:rsidRPr="00765E09">
        <w:tab/>
        <w:t xml:space="preserve">€ </w:t>
      </w:r>
      <w:r>
        <w:t xml:space="preserve"> </w:t>
      </w:r>
      <w:r w:rsidRPr="00765E09">
        <w:t xml:space="preserve"> </w:t>
      </w:r>
      <w:r w:rsidR="00DC2B60">
        <w:t>7</w:t>
      </w:r>
      <w:r w:rsidR="0080382E">
        <w:t>6,50</w:t>
      </w:r>
    </w:p>
    <w:p w14:paraId="1987A99D" w14:textId="4F9AB5F0" w:rsidR="007E2F66" w:rsidRPr="00765E09" w:rsidRDefault="007E2F66" w:rsidP="003E3983">
      <w:r w:rsidRPr="00765E09">
        <w:t>- betekening verzoekschrift</w:t>
      </w:r>
      <w:r w:rsidRPr="00765E09">
        <w:tab/>
      </w:r>
      <w:r w:rsidRPr="00765E09">
        <w:tab/>
        <w:t>€</w:t>
      </w:r>
      <w:r>
        <w:t xml:space="preserve"> </w:t>
      </w:r>
      <w:r w:rsidRPr="00765E09">
        <w:t xml:space="preserve">  </w:t>
      </w:r>
      <w:r w:rsidR="00DC2B60">
        <w:t>7</w:t>
      </w:r>
      <w:r w:rsidR="0080382E">
        <w:t>6,50</w:t>
      </w:r>
    </w:p>
    <w:p w14:paraId="0482B4F2" w14:textId="1FB3B6C0" w:rsidR="00DC2B60" w:rsidRPr="00765E09" w:rsidRDefault="00F6339B" w:rsidP="003E3983">
      <w:r>
        <w:t>- oproeping getuige</w:t>
      </w:r>
      <w:r>
        <w:tab/>
      </w:r>
      <w:r>
        <w:tab/>
      </w:r>
      <w:r w:rsidRPr="00375C41">
        <w:tab/>
      </w:r>
      <w:r w:rsidR="00375C41" w:rsidRPr="00375C41">
        <w:t xml:space="preserve">€ </w:t>
      </w:r>
      <w:r w:rsidR="00375C41">
        <w:t xml:space="preserve">  </w:t>
      </w:r>
      <w:r w:rsidR="0080382E">
        <w:t>83,38</w:t>
      </w:r>
    </w:p>
    <w:p w14:paraId="148ECE76" w14:textId="64114147" w:rsidR="007E2F66" w:rsidRPr="00765E09" w:rsidRDefault="007E2F66" w:rsidP="003E3983">
      <w:r w:rsidRPr="00765E09">
        <w:lastRenderedPageBreak/>
        <w:t>- proces-verbaal van constatering</w:t>
      </w:r>
      <w:r w:rsidRPr="00765E09">
        <w:tab/>
        <w:t>€ 1</w:t>
      </w:r>
      <w:r w:rsidR="0080382E">
        <w:t>70,00</w:t>
      </w:r>
      <w:r w:rsidRPr="00765E09">
        <w:t xml:space="preserve"> per uur </w:t>
      </w:r>
    </w:p>
    <w:p w14:paraId="45934B26" w14:textId="77777777" w:rsidR="007E2F66" w:rsidRPr="00765E09" w:rsidRDefault="007E2F66" w:rsidP="003E3983"/>
    <w:p w14:paraId="3EB6D92E" w14:textId="77777777" w:rsidR="007E2F66" w:rsidRPr="001A1BA4" w:rsidRDefault="007E2F66" w:rsidP="003E3983">
      <w:pPr>
        <w:rPr>
          <w:b/>
          <w:u w:val="single"/>
        </w:rPr>
      </w:pPr>
      <w:r w:rsidRPr="001A1BA4">
        <w:rPr>
          <w:b/>
          <w:u w:val="single"/>
        </w:rPr>
        <w:t>4.2. aanvulling:</w:t>
      </w:r>
    </w:p>
    <w:p w14:paraId="07B69487" w14:textId="77777777" w:rsidR="007E2F66" w:rsidRPr="00765E09" w:rsidRDefault="007E2F66" w:rsidP="003E3983">
      <w:r w:rsidRPr="00765E09">
        <w:t xml:space="preserve">Voor de niet in het overzicht van artikel 4.1. opgenomen werkzaamheden zal aan opdrachtgever een tarief in rekening worden gebracht dat gelijk is aan het tarief voor (zoveel mogelijk) </w:t>
      </w:r>
      <w:r w:rsidR="00DC2B60" w:rsidRPr="00765E09">
        <w:t xml:space="preserve">daarmee </w:t>
      </w:r>
      <w:r w:rsidRPr="00765E09">
        <w:t>vergelijkbare werkzaamheden als in het BTAG vermeld.</w:t>
      </w:r>
    </w:p>
    <w:p w14:paraId="026CB838" w14:textId="77777777" w:rsidR="001A1BA4" w:rsidRPr="00765E09" w:rsidRDefault="001A1BA4" w:rsidP="003E3983"/>
    <w:p w14:paraId="1FE3E029" w14:textId="77777777" w:rsidR="007E2F66" w:rsidRPr="00765E09" w:rsidRDefault="007E2F66" w:rsidP="003E3983">
      <w:pPr>
        <w:rPr>
          <w:b/>
        </w:rPr>
      </w:pPr>
      <w:r w:rsidRPr="00765E09">
        <w:rPr>
          <w:b/>
          <w:u w:val="single"/>
        </w:rPr>
        <w:t>4.3. uitzonderingen:</w:t>
      </w:r>
      <w:r w:rsidRPr="00765E09">
        <w:t xml:space="preserve"> </w:t>
      </w:r>
      <w:r w:rsidRPr="00765E09">
        <w:br/>
      </w:r>
      <w:r w:rsidRPr="00765E09">
        <w:rPr>
          <w:b/>
        </w:rPr>
        <w:t>4.3.1.</w:t>
      </w:r>
      <w:r w:rsidRPr="00765E09">
        <w:t xml:space="preserve"> Indien de werkzaamheden op dezelfde dag als de dag van de verstrekking van de opdracht moeten worden uitgevoerd, dan is opdrachtnemer gerechtigd het tarief als bedoeld in artikel 4.1. dan wel 4.2 te verhogen met ten hoogste 50%. </w:t>
      </w:r>
      <w:r w:rsidRPr="00765E09">
        <w:br/>
      </w:r>
    </w:p>
    <w:p w14:paraId="647AB70E" w14:textId="77777777" w:rsidR="007E2F66" w:rsidRPr="00765E09" w:rsidRDefault="007E2F66" w:rsidP="003E3983">
      <w:r w:rsidRPr="00765E09">
        <w:rPr>
          <w:b/>
        </w:rPr>
        <w:t xml:space="preserve">4.3.2. </w:t>
      </w:r>
      <w:r w:rsidRPr="00765E09">
        <w:t xml:space="preserve">Indien de werkzaamheden na 18.00 uur of op een zaterdag dienen te worden verricht, is de opdrachtnemer gerechtigd het tarief als bedoeld in artikel 4.1. dan wel 4.2. te verhogen met ten hoogste 100%. </w:t>
      </w:r>
      <w:r w:rsidRPr="00765E09">
        <w:br/>
      </w:r>
    </w:p>
    <w:p w14:paraId="52CD7B09" w14:textId="77777777" w:rsidR="007E2F66" w:rsidRPr="00765E09" w:rsidRDefault="007E2F66" w:rsidP="003E3983">
      <w:r w:rsidRPr="00765E09">
        <w:rPr>
          <w:b/>
        </w:rPr>
        <w:t xml:space="preserve">4.3.3. </w:t>
      </w:r>
      <w:r w:rsidRPr="00765E09">
        <w:t xml:space="preserve">Als de werkzaamheden naar beoordeling van de opdrachtnemer qua hoeveelheid buitengewoon van aard zijn, heeft de opdrachtnemer, na daartoe overleg met de opdrachtgever te hebben gevoerd, het recht om een extra tarief in rekening te brengen. </w:t>
      </w:r>
    </w:p>
    <w:p w14:paraId="2FF5F824" w14:textId="3EBEB333" w:rsidR="007E2F66" w:rsidRPr="003E3983" w:rsidRDefault="007E2F66" w:rsidP="003E3983">
      <w:r w:rsidRPr="00765E09">
        <w:t xml:space="preserve"> </w:t>
      </w:r>
      <w:r w:rsidRPr="00765E09">
        <w:br/>
      </w:r>
      <w:r w:rsidRPr="00765E09">
        <w:rPr>
          <w:b/>
          <w:u w:val="single"/>
        </w:rPr>
        <w:t>4.4. vergeefse werkzaamheden:</w:t>
      </w:r>
      <w:r w:rsidRPr="00765E09">
        <w:t xml:space="preserve"> </w:t>
      </w:r>
      <w:r w:rsidRPr="00765E09">
        <w:br/>
        <w:t xml:space="preserve">Indien de te verrichten werkzaamheden geen doorgang (kunnen) vinden door oorzaken die niet aan de opdrachtnemer zijn te wijten, is de opdrachtnemer gerechtigd € </w:t>
      </w:r>
      <w:r w:rsidR="0071045E">
        <w:t>42,50</w:t>
      </w:r>
      <w:r w:rsidRPr="00765E09">
        <w:t xml:space="preserve"> te berekenen, onverminderd al hetgeen is bepaald in de </w:t>
      </w:r>
      <w:r w:rsidRPr="003E3983">
        <w:t xml:space="preserve">artikelen 4.3.1. tot en met 4.3.3. </w:t>
      </w:r>
      <w:r w:rsidRPr="003E3983">
        <w:br/>
      </w:r>
    </w:p>
    <w:p w14:paraId="0A3D37D3" w14:textId="77777777" w:rsidR="007E2F66" w:rsidRPr="003E3983" w:rsidRDefault="007E2F66" w:rsidP="003E3983">
      <w:pPr>
        <w:rPr>
          <w:b/>
        </w:rPr>
      </w:pPr>
      <w:r w:rsidRPr="003E3983">
        <w:rPr>
          <w:b/>
        </w:rPr>
        <w:t xml:space="preserve">5. tarieven niet-ambtelijke werkzaamheden </w:t>
      </w:r>
      <w:r w:rsidRPr="003E3983">
        <w:rPr>
          <w:b/>
        </w:rPr>
        <w:br/>
      </w:r>
    </w:p>
    <w:p w14:paraId="69935CB6" w14:textId="77777777" w:rsidR="007E2F66" w:rsidRPr="00765E09" w:rsidRDefault="007E2F66" w:rsidP="003E3983">
      <w:pPr>
        <w:rPr>
          <w:color w:val="FF0000"/>
        </w:rPr>
      </w:pPr>
      <w:r w:rsidRPr="00BA6502">
        <w:rPr>
          <w:b/>
          <w:u w:val="single"/>
        </w:rPr>
        <w:t>5.1. basisvergoeding:</w:t>
      </w:r>
      <w:r w:rsidRPr="00BA6502">
        <w:t xml:space="preserve"> </w:t>
      </w:r>
      <w:r w:rsidRPr="00BA6502">
        <w:br/>
      </w:r>
      <w:r w:rsidR="00AB26BD" w:rsidRPr="00BA6502">
        <w:t>Tenzij anders overeengekomen,</w:t>
      </w:r>
      <w:r w:rsidR="004C6B8D" w:rsidRPr="00BA6502">
        <w:t xml:space="preserve"> is i</w:t>
      </w:r>
      <w:r w:rsidRPr="00BA6502">
        <w:t>n alle zaken</w:t>
      </w:r>
      <w:r w:rsidR="004C6B8D" w:rsidRPr="00BA6502">
        <w:t xml:space="preserve"> </w:t>
      </w:r>
      <w:r w:rsidRPr="00BA6502">
        <w:t>waarin de opdrachtnemer een dossier dient aan te leggen en gegevens van de zaak in zijn administratie dient</w:t>
      </w:r>
      <w:r w:rsidRPr="00765E09">
        <w:t xml:space="preserve"> te verwerken een basisvergoeding van minimaal € </w:t>
      </w:r>
      <w:r w:rsidR="00DC2B60">
        <w:t>6</w:t>
      </w:r>
      <w:r w:rsidRPr="00765E09">
        <w:t xml:space="preserve">0,00 verschuldigd. De basisvergoeding wordt niet in rekening gebracht indien de toepassing van de tarieven, zoals vermeld in artikel 5.2., tot een hogere uitkomst leidt dan € </w:t>
      </w:r>
      <w:r w:rsidR="00DC2B60">
        <w:t>6</w:t>
      </w:r>
      <w:r w:rsidRPr="00765E09">
        <w:t>0,00.</w:t>
      </w:r>
      <w:r w:rsidRPr="00765E09">
        <w:rPr>
          <w:color w:val="FF0000"/>
        </w:rPr>
        <w:t xml:space="preserve">  </w:t>
      </w:r>
    </w:p>
    <w:p w14:paraId="5558A1C2" w14:textId="77777777" w:rsidR="007E2F66" w:rsidRPr="00765E09" w:rsidRDefault="007E2F66" w:rsidP="003E3983">
      <w:r w:rsidRPr="00765E09">
        <w:t xml:space="preserve"> </w:t>
      </w:r>
    </w:p>
    <w:p w14:paraId="4442820B" w14:textId="77777777" w:rsidR="007E2F66" w:rsidRPr="00311FDC" w:rsidRDefault="007E2F66" w:rsidP="003E3983">
      <w:pPr>
        <w:rPr>
          <w:b/>
          <w:u w:val="single"/>
        </w:rPr>
      </w:pPr>
      <w:r w:rsidRPr="00311FDC">
        <w:rPr>
          <w:b/>
          <w:u w:val="single"/>
        </w:rPr>
        <w:t xml:space="preserve">5.2. incassoprovisie: </w:t>
      </w:r>
    </w:p>
    <w:p w14:paraId="4683AF6C" w14:textId="77777777" w:rsidR="007E2F66" w:rsidRPr="003E3983" w:rsidRDefault="007E2F66" w:rsidP="003E3983">
      <w:pPr>
        <w:rPr>
          <w:b/>
        </w:rPr>
      </w:pPr>
    </w:p>
    <w:p w14:paraId="44ED8A64" w14:textId="77777777" w:rsidR="007E2F66" w:rsidRPr="003E3983" w:rsidRDefault="007E2F66" w:rsidP="003E3983">
      <w:pPr>
        <w:rPr>
          <w:b/>
        </w:rPr>
      </w:pPr>
      <w:r w:rsidRPr="003E3983">
        <w:rPr>
          <w:b/>
        </w:rPr>
        <w:t xml:space="preserve">incassoprovisie conform het </w:t>
      </w:r>
      <w:r w:rsidRPr="003E3983">
        <w:rPr>
          <w:b/>
          <w:shd w:val="clear" w:color="auto" w:fill="FFFFFF"/>
        </w:rPr>
        <w:t>Besluit vergoeding voor buitengerechtelijke incassokosten</w:t>
      </w:r>
      <w:r w:rsidRPr="003E3983">
        <w:rPr>
          <w:b/>
        </w:rPr>
        <w:t xml:space="preserve"> </w:t>
      </w:r>
    </w:p>
    <w:p w14:paraId="67E2F518" w14:textId="77777777" w:rsidR="007E2F66" w:rsidRPr="00765E09" w:rsidRDefault="007E2F66" w:rsidP="003E3983"/>
    <w:p w14:paraId="08E18099" w14:textId="26873651" w:rsidR="007E2F66" w:rsidRDefault="007E2F66" w:rsidP="003E3983">
      <w:r w:rsidRPr="00765E09">
        <w:rPr>
          <w:b/>
        </w:rPr>
        <w:t>5.2.1.</w:t>
      </w:r>
      <w:r w:rsidRPr="00765E09">
        <w:t xml:space="preserve"> De wettelijke tarieven van artikel 6:96 Burgerlijk Wetboek en het daarop gebaseerd Besluit vergoeding voor buitengerechtelijke kosten worden gehanteerd, tenzij anders is </w:t>
      </w:r>
      <w:r w:rsidRPr="00BA6502">
        <w:t xml:space="preserve">overeengekomen. Conform dat Besluit wordt aan overige opdrachtgevers over de geïncasseerde hoofdsom(men) het  </w:t>
      </w:r>
      <w:r w:rsidRPr="00B255EC">
        <w:t>tarief voor de incassoprovisie berekend</w:t>
      </w:r>
      <w:r w:rsidR="002D0C0E">
        <w:t xml:space="preserve"> overeenkomstig de</w:t>
      </w:r>
      <w:r w:rsidR="005A27F8">
        <w:t xml:space="preserve"> </w:t>
      </w:r>
      <w:hyperlink r:id="rId7" w:history="1">
        <w:r w:rsidR="00E4593C" w:rsidRPr="00E4593C">
          <w:rPr>
            <w:rStyle w:val="Hyperlink"/>
          </w:rPr>
          <w:t>staffel inc</w:t>
        </w:r>
        <w:r w:rsidR="00E4593C" w:rsidRPr="00E4593C">
          <w:rPr>
            <w:rStyle w:val="Hyperlink"/>
          </w:rPr>
          <w:t>a</w:t>
        </w:r>
        <w:r w:rsidR="00E4593C" w:rsidRPr="00E4593C">
          <w:rPr>
            <w:rStyle w:val="Hyperlink"/>
          </w:rPr>
          <w:t>ssokosten</w:t>
        </w:r>
      </w:hyperlink>
      <w:r w:rsidR="00E4593C">
        <w:t xml:space="preserve">. </w:t>
      </w:r>
    </w:p>
    <w:p w14:paraId="4E0F301E" w14:textId="77777777" w:rsidR="002D0C0E" w:rsidRPr="00B255EC" w:rsidRDefault="002D0C0E" w:rsidP="003E3983"/>
    <w:p w14:paraId="37B5D421" w14:textId="77777777" w:rsidR="007E2F66" w:rsidRPr="00765E09" w:rsidRDefault="007E2F66" w:rsidP="003E3983">
      <w:r w:rsidRPr="00B255EC">
        <w:rPr>
          <w:b/>
        </w:rPr>
        <w:t>5.2.2.</w:t>
      </w:r>
      <w:r w:rsidRPr="00B255EC">
        <w:t xml:space="preserve"> Indien op de voor de opdrachtgever uit te voeren werkzaamheden het in artikel 5.2.1. genoemde besluit van toepassing is en de volgens dat besluit verplichte aanmaning (</w:t>
      </w:r>
      <w:r w:rsidR="00DC2B60" w:rsidRPr="00B255EC">
        <w:t>veertiendagenbrief)</w:t>
      </w:r>
      <w:r w:rsidRPr="00B255EC">
        <w:t xml:space="preserve"> nog niet door de opdrachtgever aan de schuldenaar is verzonden, zal opdrachtnemer daar zorg voor dragen. Volgt vervolgens binnen die wettelijke termijn volledige betaling,</w:t>
      </w:r>
      <w:r w:rsidR="00B17102" w:rsidRPr="00B255EC">
        <w:t xml:space="preserve"> voor zover de hoofdsom € 500,00 of lager </w:t>
      </w:r>
      <w:r w:rsidR="00B255EC" w:rsidRPr="00B255EC">
        <w:t>is</w:t>
      </w:r>
      <w:r w:rsidR="00B17102" w:rsidRPr="00B255EC">
        <w:t>,</w:t>
      </w:r>
      <w:r w:rsidRPr="00B255EC">
        <w:t xml:space="preserve"> dan zal de zaak worden gesloten en wordt aan de opdrachtgever voor de verrichte dienstverlening een tarief van € </w:t>
      </w:r>
      <w:smartTag w:uri="urn:schemas-microsoft-com:office:smarttags" w:element="metricconverter">
        <w:smartTagPr>
          <w:attr w:name="ProductID" w:val="25,00 in"/>
        </w:smartTagPr>
        <w:r w:rsidRPr="00B255EC">
          <w:t>25,00 in</w:t>
        </w:r>
      </w:smartTag>
      <w:r w:rsidRPr="00B255EC">
        <w:t xml:space="preserve"> rekening gebracht.</w:t>
      </w:r>
      <w:r w:rsidR="00B17102" w:rsidRPr="00B255EC">
        <w:t xml:space="preserve"> Indien de hoofdsom hoger</w:t>
      </w:r>
      <w:r w:rsidR="00B255EC" w:rsidRPr="00B255EC">
        <w:t xml:space="preserve"> is</w:t>
      </w:r>
      <w:r w:rsidR="00B17102" w:rsidRPr="00B255EC">
        <w:t xml:space="preserve"> dan € 500,00, zal de helft van incassokosten conform de staffel van artikel 5.2.1 in rekening worden gebracht.</w:t>
      </w:r>
      <w:r w:rsidRPr="00B255EC">
        <w:t xml:space="preserve"> </w:t>
      </w:r>
    </w:p>
    <w:p w14:paraId="5597B8AC" w14:textId="77777777" w:rsidR="002D0C0E" w:rsidRDefault="002D0C0E" w:rsidP="003E3983"/>
    <w:p w14:paraId="389491A6" w14:textId="77777777" w:rsidR="007E2F66" w:rsidRPr="00765E09" w:rsidRDefault="007E2F66" w:rsidP="003E3983">
      <w:r w:rsidRPr="006E7595">
        <w:rPr>
          <w:b/>
        </w:rPr>
        <w:t>5.2.</w:t>
      </w:r>
      <w:r w:rsidR="00B17311" w:rsidRPr="006E7595">
        <w:rPr>
          <w:b/>
        </w:rPr>
        <w:t>3</w:t>
      </w:r>
      <w:r w:rsidRPr="006E7595">
        <w:rPr>
          <w:b/>
        </w:rPr>
        <w:t>.</w:t>
      </w:r>
      <w:r w:rsidRPr="00765E09">
        <w:t xml:space="preserve"> De opdrachtnemer zal trachten de incassoprovisie zoveel mogelijk op de schuldenaar te verhalen, tenzij de inhoud van de tussen opdrachtgever en de schuldenaar gesloten overeenkomst of de wet zich daartegen verzet. </w:t>
      </w:r>
      <w:r w:rsidRPr="00765E09">
        <w:br/>
      </w:r>
    </w:p>
    <w:p w14:paraId="36A46E1D" w14:textId="77777777" w:rsidR="003E3983" w:rsidRDefault="007E2F66" w:rsidP="003E3983">
      <w:r w:rsidRPr="00765E09">
        <w:rPr>
          <w:b/>
        </w:rPr>
        <w:t>5.2.</w:t>
      </w:r>
      <w:r w:rsidR="00B17311">
        <w:rPr>
          <w:b/>
        </w:rPr>
        <w:t>4</w:t>
      </w:r>
      <w:r w:rsidRPr="00765E09">
        <w:rPr>
          <w:b/>
        </w:rPr>
        <w:t>.</w:t>
      </w:r>
      <w:r w:rsidRPr="00765E09">
        <w:t xml:space="preserve"> De opdrachtnemer heeft het recht de overeenkomstig de hierboven vermelde tarieven verschuldigde incassoprovisie aan de opdrachtgever in rekening te brengen, indien de opdrachtgever buiten de opdrachtnemer om met de schuldenaar een regeling of schikking treft, de verstrekte opdracht tot incasso intrekt, of de opdrachtnemer ondanks rappel zonder bericht of instructie laat. </w:t>
      </w:r>
    </w:p>
    <w:p w14:paraId="5D211C16" w14:textId="77777777" w:rsidR="003E3983" w:rsidRDefault="003E3983" w:rsidP="003E3983"/>
    <w:p w14:paraId="5A3F51C1" w14:textId="77777777" w:rsidR="003E3983" w:rsidRDefault="003E3983" w:rsidP="003E3983">
      <w:r w:rsidRPr="003E3983">
        <w:rPr>
          <w:b/>
        </w:rPr>
        <w:lastRenderedPageBreak/>
        <w:t>5.2.5.</w:t>
      </w:r>
      <w:r w:rsidRPr="003E3983">
        <w:t xml:space="preserve"> Indien de opdrachtgever nalatig blijft de toegezonden declaratie te voldoen, </w:t>
      </w:r>
      <w:r w:rsidR="00A7242C">
        <w:t>zal</w:t>
      </w:r>
      <w:r w:rsidRPr="003E3983">
        <w:t xml:space="preserve"> opdrachtnemer</w:t>
      </w:r>
      <w:r w:rsidR="00A7242C">
        <w:t>,</w:t>
      </w:r>
      <w:r w:rsidR="00A7242C" w:rsidRPr="00A7242C">
        <w:t xml:space="preserve"> </w:t>
      </w:r>
      <w:r w:rsidR="00A7242C">
        <w:t>met inachtneming van artikel 11, opdrachtgever conform het bovengenoemd besluit aanmanen.</w:t>
      </w:r>
    </w:p>
    <w:p w14:paraId="4A304A2E" w14:textId="77777777" w:rsidR="003E3983" w:rsidRPr="00765E09" w:rsidRDefault="003E3983" w:rsidP="003E3983"/>
    <w:p w14:paraId="399AA439" w14:textId="77777777" w:rsidR="00987940" w:rsidRPr="00B255EC" w:rsidRDefault="007E2F66" w:rsidP="003E3983">
      <w:r w:rsidRPr="00765E09">
        <w:rPr>
          <w:b/>
          <w:u w:val="single"/>
        </w:rPr>
        <w:t xml:space="preserve">5.3. afwikkelingskosten: </w:t>
      </w:r>
      <w:r w:rsidRPr="00765E09">
        <w:rPr>
          <w:b/>
          <w:u w:val="single"/>
        </w:rPr>
        <w:br/>
      </w:r>
      <w:r w:rsidRPr="00765E09">
        <w:rPr>
          <w:b/>
        </w:rPr>
        <w:t>5.3.1.</w:t>
      </w:r>
      <w:r w:rsidRPr="00765E09">
        <w:t xml:space="preserve"> De grondslag voor de berekening van de afwikkelingskosten zijn de geïncasseerde bedragen.</w:t>
      </w:r>
      <w:r w:rsidR="00987940" w:rsidRPr="00765E09">
        <w:t xml:space="preserve"> </w:t>
      </w:r>
      <w:r w:rsidRPr="00765E09">
        <w:br/>
      </w:r>
    </w:p>
    <w:p w14:paraId="7C9AEC8E" w14:textId="77777777" w:rsidR="007E2F66" w:rsidRPr="00765E09" w:rsidRDefault="007E2F66" w:rsidP="003E3983">
      <w:pPr>
        <w:rPr>
          <w:b/>
          <w:color w:val="008000"/>
          <w:u w:val="single"/>
        </w:rPr>
      </w:pPr>
      <w:r w:rsidRPr="00765E09">
        <w:rPr>
          <w:b/>
        </w:rPr>
        <w:t xml:space="preserve">5.3.2. </w:t>
      </w:r>
      <w:r w:rsidRPr="00765E09">
        <w:t xml:space="preserve">Het tarief van de afwikkelingskosten bedraagt: </w:t>
      </w:r>
      <w:r w:rsidRPr="00765E09">
        <w:br/>
        <w:t xml:space="preserve">minimumtarief van                   : </w:t>
      </w:r>
      <w:r w:rsidR="00DC2B60">
        <w:t>€ 6</w:t>
      </w:r>
      <w:r w:rsidRPr="00765E09">
        <w:t xml:space="preserve">0,00 </w:t>
      </w:r>
      <w:r w:rsidRPr="00765E09">
        <w:br/>
        <w:t xml:space="preserve">tot en met € 10.000,00             : 4% </w:t>
      </w:r>
      <w:r w:rsidRPr="00765E09">
        <w:br/>
        <w:t xml:space="preserve">over het meerdere boven € 10.000,00 : 2% </w:t>
      </w:r>
      <w:r w:rsidR="00DC2B60">
        <w:t>met een maximum van € 8</w:t>
      </w:r>
      <w:r w:rsidRPr="00765E09">
        <w:t>50,00</w:t>
      </w:r>
      <w:r w:rsidRPr="00765E09">
        <w:br/>
      </w:r>
    </w:p>
    <w:p w14:paraId="5E71F939" w14:textId="68D5BA4C" w:rsidR="00B255EC" w:rsidRPr="006E7595" w:rsidRDefault="007E2F66" w:rsidP="003E3983">
      <w:r w:rsidRPr="00765E09">
        <w:rPr>
          <w:b/>
          <w:u w:val="single"/>
        </w:rPr>
        <w:t xml:space="preserve">5.4. processuele fase: </w:t>
      </w:r>
      <w:r w:rsidRPr="00765E09">
        <w:rPr>
          <w:b/>
          <w:u w:val="single"/>
        </w:rPr>
        <w:br/>
      </w:r>
      <w:r w:rsidR="00B43A0C">
        <w:t>Tenzij anders overeengekomen geldt v</w:t>
      </w:r>
      <w:r w:rsidRPr="00765E09">
        <w:t xml:space="preserve">oor </w:t>
      </w:r>
      <w:r w:rsidR="00DC2B60">
        <w:t xml:space="preserve">alle </w:t>
      </w:r>
      <w:r w:rsidR="008D25FA">
        <w:t>werkza</w:t>
      </w:r>
      <w:r w:rsidR="003B2A80">
        <w:t>a</w:t>
      </w:r>
      <w:r w:rsidR="008D25FA">
        <w:t>mheden in de</w:t>
      </w:r>
      <w:r w:rsidR="006609F3">
        <w:t xml:space="preserve"> processuele </w:t>
      </w:r>
      <w:r w:rsidR="008D25FA">
        <w:t>fase</w:t>
      </w:r>
      <w:r w:rsidR="00DC2B60">
        <w:t xml:space="preserve"> een uurtarief van 1</w:t>
      </w:r>
      <w:r w:rsidR="0071045E">
        <w:t>70</w:t>
      </w:r>
      <w:r w:rsidR="00DC2B60">
        <w:t xml:space="preserve">,00. </w:t>
      </w:r>
    </w:p>
    <w:p w14:paraId="5572E070" w14:textId="77777777" w:rsidR="00B255EC" w:rsidRDefault="00B255EC" w:rsidP="003E3983"/>
    <w:p w14:paraId="3E5A3702" w14:textId="77777777" w:rsidR="00B43A0C" w:rsidRDefault="007E2F66" w:rsidP="003E3983">
      <w:r w:rsidRPr="00765E09">
        <w:rPr>
          <w:b/>
          <w:u w:val="single"/>
        </w:rPr>
        <w:t>5.5. adviesfase:</w:t>
      </w:r>
      <w:r w:rsidRPr="00765E09">
        <w:t xml:space="preserve"> </w:t>
      </w:r>
      <w:r w:rsidRPr="00765E09">
        <w:br/>
      </w:r>
      <w:r w:rsidR="00B43A0C">
        <w:t>Tenzij anders overeengekomen geldt v</w:t>
      </w:r>
      <w:r w:rsidRPr="00765E09">
        <w:t xml:space="preserve">oor werkzaamheden in de adviesfase een tarief van </w:t>
      </w:r>
    </w:p>
    <w:p w14:paraId="25FD1521" w14:textId="1CF0603F" w:rsidR="006E7595" w:rsidRDefault="007E2F66" w:rsidP="003E3983">
      <w:r w:rsidRPr="00765E09">
        <w:t>€ 1</w:t>
      </w:r>
      <w:r w:rsidR="0071045E">
        <w:t>70,</w:t>
      </w:r>
      <w:r w:rsidRPr="00765E09">
        <w:t xml:space="preserve">00 per uur. Voor het advies dat voortvloeit uit de beoordeling van de opdrachtnemer of het haalbaar dan wel zinvol is om de vordering ter incasso uit handen te geven worden geen kosten in rekening gebracht. </w:t>
      </w:r>
    </w:p>
    <w:p w14:paraId="79205ED0" w14:textId="77777777" w:rsidR="006E7595" w:rsidRPr="00311FDC" w:rsidRDefault="006E7595" w:rsidP="003E3983">
      <w:pPr>
        <w:rPr>
          <w:b/>
        </w:rPr>
      </w:pPr>
    </w:p>
    <w:p w14:paraId="69E24ADF" w14:textId="77777777" w:rsidR="007E2F66" w:rsidRPr="00311FDC" w:rsidRDefault="007E2F66" w:rsidP="003E3983">
      <w:pPr>
        <w:rPr>
          <w:b/>
        </w:rPr>
      </w:pPr>
      <w:r w:rsidRPr="00311FDC">
        <w:rPr>
          <w:b/>
        </w:rPr>
        <w:t>6. aanvullende tarieven ambtelijke en niet-ambtelijke werkzaamheden</w:t>
      </w:r>
    </w:p>
    <w:p w14:paraId="295F29D9" w14:textId="77777777" w:rsidR="007E2F66" w:rsidRPr="00765E09" w:rsidRDefault="007E2F66" w:rsidP="003E3983"/>
    <w:p w14:paraId="42D545B2" w14:textId="77777777" w:rsidR="00995E29" w:rsidRPr="003E3983" w:rsidRDefault="007E2F66" w:rsidP="003E3983">
      <w:r w:rsidRPr="00765E09">
        <w:rPr>
          <w:b/>
          <w:u w:val="single"/>
        </w:rPr>
        <w:t>6.1. verschotten:</w:t>
      </w:r>
      <w:r w:rsidRPr="00765E09">
        <w:t xml:space="preserve"> </w:t>
      </w:r>
      <w:r w:rsidRPr="00765E09">
        <w:br/>
        <w:t xml:space="preserve">De verschotten in verband met noodzakelijke informaties bij derden en met betrekking tot het inschakelen van derden gedurende de uitvoering van enige opdracht worden naast de in deze voorwaarden genoemde tarieven voor de behandeling, voor zover niet verhaalbaar op de </w:t>
      </w:r>
      <w:r w:rsidRPr="003E3983">
        <w:t xml:space="preserve">schuldenaar, doorberekend aan de opdrachtgever. </w:t>
      </w:r>
    </w:p>
    <w:p w14:paraId="0ADF8BAB" w14:textId="77777777" w:rsidR="00995E29" w:rsidRPr="003E3983" w:rsidRDefault="00995E29" w:rsidP="003E3983">
      <w:pPr>
        <w:pStyle w:val="Normaalweb"/>
        <w:rPr>
          <w:rFonts w:ascii="Verdana" w:hAnsi="Verdana"/>
          <w:sz w:val="18"/>
          <w:szCs w:val="18"/>
        </w:rPr>
      </w:pPr>
    </w:p>
    <w:p w14:paraId="3CFDD5F8" w14:textId="77777777" w:rsidR="007E2F66" w:rsidRPr="003E3983" w:rsidRDefault="007E2F66" w:rsidP="003E3983">
      <w:pPr>
        <w:pStyle w:val="Normaalweb"/>
        <w:rPr>
          <w:rFonts w:ascii="Verdana" w:hAnsi="Verdana"/>
          <w:sz w:val="18"/>
          <w:szCs w:val="18"/>
        </w:rPr>
      </w:pPr>
      <w:r w:rsidRPr="003E3983">
        <w:rPr>
          <w:rFonts w:ascii="Verdana" w:hAnsi="Verdana"/>
          <w:b/>
          <w:sz w:val="18"/>
          <w:szCs w:val="18"/>
        </w:rPr>
        <w:t>6.1.1.a.</w:t>
      </w:r>
      <w:r w:rsidRPr="003E3983">
        <w:rPr>
          <w:rFonts w:ascii="Verdana" w:hAnsi="Verdana"/>
          <w:sz w:val="18"/>
          <w:szCs w:val="18"/>
        </w:rPr>
        <w:t xml:space="preserve"> De vanwege de KBvG vastgestelde tarieven voor de verschotten waarbij een informatie wordt opgevraagd bij een derde bedragen:</w:t>
      </w:r>
    </w:p>
    <w:p w14:paraId="7106636E" w14:textId="77777777" w:rsidR="007E2F66" w:rsidRPr="003E3983" w:rsidRDefault="007E2F66" w:rsidP="003E3983">
      <w:pPr>
        <w:pStyle w:val="Normaalweb"/>
        <w:rPr>
          <w:rFonts w:ascii="Verdana" w:hAnsi="Verdana"/>
          <w:sz w:val="18"/>
          <w:szCs w:val="18"/>
        </w:rPr>
      </w:pPr>
    </w:p>
    <w:p w14:paraId="1D217916" w14:textId="2F5D7194" w:rsidR="007E2F66" w:rsidRPr="003E3983" w:rsidRDefault="007E2F66" w:rsidP="003E3983">
      <w:pPr>
        <w:pStyle w:val="Normaalweb"/>
        <w:rPr>
          <w:rFonts w:ascii="Verdana" w:hAnsi="Verdana"/>
          <w:sz w:val="18"/>
          <w:szCs w:val="18"/>
        </w:rPr>
      </w:pPr>
      <w:r w:rsidRPr="003E3983">
        <w:rPr>
          <w:rFonts w:ascii="Verdana" w:hAnsi="Verdana"/>
          <w:sz w:val="18"/>
          <w:szCs w:val="18"/>
        </w:rPr>
        <w:t>- informatie BRP (bevolkingsregister)</w:t>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t xml:space="preserve">€ </w:t>
      </w:r>
      <w:r w:rsidR="0071045E">
        <w:rPr>
          <w:rFonts w:ascii="Verdana" w:hAnsi="Verdana"/>
          <w:sz w:val="18"/>
          <w:szCs w:val="18"/>
        </w:rPr>
        <w:t>1,71</w:t>
      </w:r>
    </w:p>
    <w:p w14:paraId="282EF9DD" w14:textId="24623285" w:rsidR="007E2F66" w:rsidRPr="003E3983" w:rsidRDefault="007E2F66" w:rsidP="003E3983">
      <w:pPr>
        <w:pStyle w:val="Normaalweb"/>
        <w:rPr>
          <w:rFonts w:ascii="Verdana" w:hAnsi="Verdana"/>
          <w:sz w:val="18"/>
          <w:szCs w:val="18"/>
        </w:rPr>
      </w:pPr>
      <w:r w:rsidRPr="003E3983">
        <w:rPr>
          <w:rFonts w:ascii="Verdana" w:hAnsi="Verdana"/>
          <w:sz w:val="18"/>
          <w:szCs w:val="18"/>
        </w:rPr>
        <w:t>- informatie KVK (handelsregister)  </w:t>
      </w:r>
      <w:r w:rsidRPr="003E3983">
        <w:rPr>
          <w:rFonts w:ascii="Verdana" w:hAnsi="Verdana"/>
          <w:sz w:val="18"/>
          <w:szCs w:val="18"/>
        </w:rPr>
        <w:tab/>
      </w:r>
      <w:r w:rsidRPr="003E3983">
        <w:rPr>
          <w:rFonts w:ascii="Verdana" w:hAnsi="Verdana"/>
          <w:sz w:val="18"/>
          <w:szCs w:val="18"/>
        </w:rPr>
        <w:tab/>
        <w:t> </w:t>
      </w:r>
      <w:r w:rsidRPr="003E3983">
        <w:rPr>
          <w:rFonts w:ascii="Verdana" w:hAnsi="Verdana"/>
          <w:sz w:val="18"/>
          <w:szCs w:val="18"/>
        </w:rPr>
        <w:tab/>
        <w:t xml:space="preserve">€ </w:t>
      </w:r>
      <w:r w:rsidR="00370C6C" w:rsidRPr="003E3983">
        <w:rPr>
          <w:rFonts w:ascii="Verdana" w:hAnsi="Verdana"/>
          <w:sz w:val="18"/>
          <w:szCs w:val="18"/>
        </w:rPr>
        <w:t>4,</w:t>
      </w:r>
      <w:r w:rsidR="0071045E">
        <w:rPr>
          <w:rFonts w:ascii="Verdana" w:hAnsi="Verdana"/>
          <w:sz w:val="18"/>
          <w:szCs w:val="18"/>
        </w:rPr>
        <w:t>61</w:t>
      </w:r>
      <w:r w:rsidRPr="003E3983">
        <w:rPr>
          <w:rFonts w:ascii="Verdana" w:hAnsi="Verdana"/>
          <w:sz w:val="18"/>
          <w:szCs w:val="18"/>
        </w:rPr>
        <w:t xml:space="preserve"> </w:t>
      </w:r>
    </w:p>
    <w:p w14:paraId="2D3467F5" w14:textId="3351AE33" w:rsidR="007E2F66" w:rsidRPr="003E3983" w:rsidRDefault="007E2F66" w:rsidP="003E3983">
      <w:pPr>
        <w:pStyle w:val="Normaalweb"/>
        <w:rPr>
          <w:rFonts w:ascii="Verdana" w:hAnsi="Verdana"/>
          <w:sz w:val="18"/>
          <w:szCs w:val="18"/>
        </w:rPr>
      </w:pPr>
      <w:r w:rsidRPr="003E3983">
        <w:rPr>
          <w:rFonts w:ascii="Verdana" w:hAnsi="Verdana"/>
          <w:sz w:val="18"/>
          <w:szCs w:val="18"/>
        </w:rPr>
        <w:t>- informatie RDW (kentekenregister)</w:t>
      </w:r>
      <w:r w:rsidRPr="003E3983">
        <w:rPr>
          <w:rFonts w:ascii="Verdana" w:hAnsi="Verdana"/>
          <w:sz w:val="18"/>
          <w:szCs w:val="18"/>
        </w:rPr>
        <w:tab/>
      </w:r>
      <w:r w:rsidRPr="003E3983">
        <w:rPr>
          <w:rFonts w:ascii="Verdana" w:hAnsi="Verdana"/>
          <w:sz w:val="18"/>
          <w:szCs w:val="18"/>
        </w:rPr>
        <w:tab/>
        <w:t xml:space="preserve"> </w:t>
      </w:r>
      <w:r w:rsidRPr="003E3983">
        <w:rPr>
          <w:rFonts w:ascii="Verdana" w:hAnsi="Verdana"/>
          <w:sz w:val="18"/>
          <w:szCs w:val="18"/>
        </w:rPr>
        <w:tab/>
        <w:t>€ 1,</w:t>
      </w:r>
      <w:r w:rsidR="0071045E">
        <w:rPr>
          <w:rFonts w:ascii="Verdana" w:hAnsi="Verdana"/>
          <w:sz w:val="18"/>
          <w:szCs w:val="18"/>
        </w:rPr>
        <w:t>61</w:t>
      </w:r>
    </w:p>
    <w:p w14:paraId="4E84DF38" w14:textId="6989EA0F" w:rsidR="007E2F66" w:rsidRPr="003E3983" w:rsidRDefault="007E2F66" w:rsidP="003E3983">
      <w:pPr>
        <w:pStyle w:val="Normaalweb"/>
        <w:rPr>
          <w:rFonts w:ascii="Verdana" w:hAnsi="Verdana"/>
          <w:sz w:val="18"/>
          <w:szCs w:val="18"/>
        </w:rPr>
      </w:pPr>
      <w:r w:rsidRPr="003E3983">
        <w:rPr>
          <w:rFonts w:ascii="Verdana" w:hAnsi="Verdana"/>
          <w:sz w:val="18"/>
          <w:szCs w:val="18"/>
        </w:rPr>
        <w:t xml:space="preserve">- Informatie DBR (digitaal beslagregister) </w:t>
      </w:r>
      <w:r w:rsidRPr="003E3983">
        <w:rPr>
          <w:rFonts w:ascii="Verdana" w:hAnsi="Verdana"/>
          <w:sz w:val="18"/>
          <w:szCs w:val="18"/>
        </w:rPr>
        <w:tab/>
      </w:r>
      <w:r w:rsidRPr="003E3983">
        <w:rPr>
          <w:rFonts w:ascii="Verdana" w:hAnsi="Verdana"/>
          <w:sz w:val="18"/>
          <w:szCs w:val="18"/>
        </w:rPr>
        <w:tab/>
        <w:t>€ 1,</w:t>
      </w:r>
      <w:r w:rsidR="0071045E">
        <w:rPr>
          <w:rFonts w:ascii="Verdana" w:hAnsi="Verdana"/>
          <w:sz w:val="18"/>
          <w:szCs w:val="18"/>
        </w:rPr>
        <w:t>76</w:t>
      </w:r>
    </w:p>
    <w:p w14:paraId="5A74508B" w14:textId="77C3F8F5" w:rsidR="007E2F66" w:rsidRPr="003E3983" w:rsidRDefault="007E2F66" w:rsidP="003E3983">
      <w:pPr>
        <w:pStyle w:val="Normaalweb"/>
        <w:rPr>
          <w:rFonts w:ascii="Verdana" w:hAnsi="Verdana"/>
          <w:sz w:val="18"/>
          <w:szCs w:val="18"/>
        </w:rPr>
      </w:pPr>
      <w:r w:rsidRPr="003E3983">
        <w:rPr>
          <w:rFonts w:ascii="Verdana" w:hAnsi="Verdana"/>
          <w:sz w:val="18"/>
          <w:szCs w:val="18"/>
        </w:rPr>
        <w:t xml:space="preserve">- informatie UWV </w:t>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t>€ 1,</w:t>
      </w:r>
      <w:r w:rsidR="00C90AF6" w:rsidRPr="003E3983">
        <w:rPr>
          <w:rFonts w:ascii="Verdana" w:hAnsi="Verdana"/>
          <w:sz w:val="18"/>
          <w:szCs w:val="18"/>
        </w:rPr>
        <w:t>8</w:t>
      </w:r>
      <w:r w:rsidR="0071045E">
        <w:rPr>
          <w:rFonts w:ascii="Verdana" w:hAnsi="Verdana"/>
          <w:sz w:val="18"/>
          <w:szCs w:val="18"/>
        </w:rPr>
        <w:t>8</w:t>
      </w:r>
    </w:p>
    <w:p w14:paraId="3B42BF3C" w14:textId="1C43F601" w:rsidR="007E2F66" w:rsidRPr="003E3983" w:rsidRDefault="007E2F66" w:rsidP="003E3983">
      <w:pPr>
        <w:pStyle w:val="Normaalweb"/>
        <w:rPr>
          <w:rFonts w:ascii="Verdana" w:hAnsi="Verdana"/>
          <w:sz w:val="18"/>
          <w:szCs w:val="18"/>
        </w:rPr>
      </w:pPr>
      <w:r w:rsidRPr="003E3983">
        <w:rPr>
          <w:rFonts w:ascii="Verdana" w:hAnsi="Verdana"/>
          <w:sz w:val="18"/>
          <w:szCs w:val="18"/>
        </w:rPr>
        <w:t>- Informatie e-</w:t>
      </w:r>
      <w:proofErr w:type="spellStart"/>
      <w:r w:rsidRPr="003E3983">
        <w:rPr>
          <w:rFonts w:ascii="Verdana" w:hAnsi="Verdana"/>
          <w:sz w:val="18"/>
          <w:szCs w:val="18"/>
        </w:rPr>
        <w:t>Voi</w:t>
      </w:r>
      <w:proofErr w:type="spellEnd"/>
      <w:r w:rsidRPr="003E3983">
        <w:rPr>
          <w:rFonts w:ascii="Verdana" w:hAnsi="Verdana"/>
          <w:sz w:val="18"/>
          <w:szCs w:val="18"/>
        </w:rPr>
        <w:t xml:space="preserve"> </w:t>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t>€ 2,</w:t>
      </w:r>
      <w:r w:rsidR="00C90AF6" w:rsidRPr="003E3983">
        <w:rPr>
          <w:rFonts w:ascii="Verdana" w:hAnsi="Verdana"/>
          <w:sz w:val="18"/>
          <w:szCs w:val="18"/>
        </w:rPr>
        <w:t>5</w:t>
      </w:r>
      <w:r w:rsidR="0071045E">
        <w:rPr>
          <w:rFonts w:ascii="Verdana" w:hAnsi="Verdana"/>
          <w:sz w:val="18"/>
          <w:szCs w:val="18"/>
        </w:rPr>
        <w:t>7</w:t>
      </w:r>
    </w:p>
    <w:p w14:paraId="0AAF395E" w14:textId="523A6C4F" w:rsidR="00C90AF6" w:rsidRPr="003E3983" w:rsidRDefault="00370C6C" w:rsidP="003E3983">
      <w:pPr>
        <w:pStyle w:val="Normaalweb"/>
        <w:rPr>
          <w:rFonts w:ascii="Verdana" w:hAnsi="Verdana"/>
          <w:sz w:val="18"/>
          <w:szCs w:val="18"/>
        </w:rPr>
      </w:pPr>
      <w:r w:rsidRPr="003E3983">
        <w:rPr>
          <w:rFonts w:ascii="Verdana" w:hAnsi="Verdana"/>
          <w:sz w:val="18"/>
          <w:szCs w:val="18"/>
        </w:rPr>
        <w:t xml:space="preserve">- informatie kadaster  </w:t>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t>€ 4,</w:t>
      </w:r>
      <w:r w:rsidR="0071045E">
        <w:rPr>
          <w:rFonts w:ascii="Verdana" w:hAnsi="Verdana"/>
          <w:sz w:val="18"/>
          <w:szCs w:val="18"/>
        </w:rPr>
        <w:t>60</w:t>
      </w:r>
      <w:r w:rsidRPr="003E3983">
        <w:rPr>
          <w:rFonts w:ascii="Verdana" w:hAnsi="Verdana"/>
          <w:sz w:val="18"/>
          <w:szCs w:val="18"/>
        </w:rPr>
        <w:t xml:space="preserve"> </w:t>
      </w:r>
    </w:p>
    <w:p w14:paraId="7F387315" w14:textId="77777777" w:rsidR="00C90AF6" w:rsidRPr="003E3983" w:rsidRDefault="00370C6C" w:rsidP="003E3983">
      <w:pPr>
        <w:pStyle w:val="Normaalweb"/>
        <w:rPr>
          <w:rFonts w:ascii="Verdana" w:hAnsi="Verdana"/>
          <w:sz w:val="18"/>
          <w:szCs w:val="18"/>
        </w:rPr>
      </w:pPr>
      <w:r w:rsidRPr="003E3983">
        <w:rPr>
          <w:rFonts w:ascii="Verdana" w:hAnsi="Verdana"/>
          <w:sz w:val="18"/>
          <w:szCs w:val="18"/>
        </w:rPr>
        <w:t>met dien verstande dat bij omvangrijke dan wel bijzondere informaties, na voorafgaand overleg ook het meerdere in rekening wordt gebracht.</w:t>
      </w:r>
    </w:p>
    <w:p w14:paraId="33A3E5B7" w14:textId="77777777" w:rsidR="00C90AF6" w:rsidRPr="003E3983" w:rsidRDefault="00C90AF6" w:rsidP="003E3983">
      <w:pPr>
        <w:pStyle w:val="Normaalweb"/>
        <w:rPr>
          <w:rFonts w:ascii="Verdana" w:hAnsi="Verdana"/>
          <w:sz w:val="18"/>
          <w:szCs w:val="18"/>
        </w:rPr>
      </w:pPr>
    </w:p>
    <w:p w14:paraId="31B06557" w14:textId="77777777" w:rsidR="007E2F66" w:rsidRPr="003E3983" w:rsidRDefault="007E2F66" w:rsidP="003E3983">
      <w:pPr>
        <w:pStyle w:val="Normaalweb"/>
        <w:rPr>
          <w:rFonts w:ascii="Verdana" w:hAnsi="Verdana"/>
          <w:sz w:val="18"/>
          <w:szCs w:val="18"/>
        </w:rPr>
      </w:pPr>
      <w:r w:rsidRPr="003E3983">
        <w:rPr>
          <w:rFonts w:ascii="Verdana" w:hAnsi="Verdana"/>
          <w:b/>
          <w:sz w:val="18"/>
          <w:szCs w:val="18"/>
        </w:rPr>
        <w:t>6.1.1.b.</w:t>
      </w:r>
      <w:r w:rsidR="00370C6C" w:rsidRPr="003E3983">
        <w:rPr>
          <w:rFonts w:ascii="Verdana" w:hAnsi="Verdana"/>
          <w:sz w:val="18"/>
          <w:szCs w:val="18"/>
        </w:rPr>
        <w:t xml:space="preserve"> De overige tarieven voor soortgelijke </w:t>
      </w:r>
      <w:r w:rsidRPr="003E3983">
        <w:rPr>
          <w:rFonts w:ascii="Verdana" w:hAnsi="Verdana"/>
          <w:sz w:val="18"/>
          <w:szCs w:val="18"/>
        </w:rPr>
        <w:t>verschotten bedragen:</w:t>
      </w:r>
    </w:p>
    <w:p w14:paraId="572C757F" w14:textId="77777777" w:rsidR="007E2F66" w:rsidRPr="003E3983" w:rsidRDefault="007E2F66" w:rsidP="003E3983">
      <w:pPr>
        <w:pStyle w:val="Normaalweb"/>
        <w:rPr>
          <w:rFonts w:ascii="Verdana" w:hAnsi="Verdana"/>
          <w:sz w:val="18"/>
          <w:szCs w:val="18"/>
        </w:rPr>
      </w:pPr>
    </w:p>
    <w:p w14:paraId="5FA4807F" w14:textId="52BF2242" w:rsidR="007E2F66" w:rsidRPr="003E3983" w:rsidRDefault="007E2F66" w:rsidP="003E3983">
      <w:pPr>
        <w:pStyle w:val="Normaalweb"/>
        <w:rPr>
          <w:rFonts w:ascii="Verdana" w:hAnsi="Verdana"/>
          <w:sz w:val="18"/>
          <w:szCs w:val="18"/>
        </w:rPr>
      </w:pPr>
      <w:r w:rsidRPr="003E3983">
        <w:rPr>
          <w:rFonts w:ascii="Verdana" w:hAnsi="Verdana"/>
          <w:sz w:val="18"/>
          <w:szCs w:val="18"/>
        </w:rPr>
        <w:t xml:space="preserve">- </w:t>
      </w:r>
      <w:proofErr w:type="spellStart"/>
      <w:r w:rsidRPr="003E3983">
        <w:rPr>
          <w:rFonts w:ascii="Verdana" w:hAnsi="Verdana"/>
          <w:sz w:val="18"/>
          <w:szCs w:val="18"/>
        </w:rPr>
        <w:t>verhaalsinformatie</w:t>
      </w:r>
      <w:proofErr w:type="spellEnd"/>
      <w:r w:rsidRPr="003E3983">
        <w:rPr>
          <w:rFonts w:ascii="Verdana" w:hAnsi="Verdana"/>
          <w:sz w:val="18"/>
          <w:szCs w:val="18"/>
        </w:rPr>
        <w:tab/>
        <w:t xml:space="preserve"> </w:t>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t xml:space="preserve">€ </w:t>
      </w:r>
      <w:r w:rsidR="0071045E">
        <w:rPr>
          <w:rFonts w:ascii="Verdana" w:hAnsi="Verdana"/>
          <w:sz w:val="18"/>
          <w:szCs w:val="18"/>
        </w:rPr>
        <w:t>75</w:t>
      </w:r>
      <w:r w:rsidRPr="003E3983">
        <w:rPr>
          <w:rFonts w:ascii="Verdana" w:hAnsi="Verdana"/>
          <w:sz w:val="18"/>
          <w:szCs w:val="18"/>
        </w:rPr>
        <w:t xml:space="preserve">,00 </w:t>
      </w:r>
    </w:p>
    <w:p w14:paraId="44E26F8A" w14:textId="77777777" w:rsidR="007E2F66" w:rsidRPr="003E3983" w:rsidRDefault="007E2F66" w:rsidP="003E3983">
      <w:pPr>
        <w:pStyle w:val="Normaalweb"/>
        <w:rPr>
          <w:rFonts w:ascii="Verdana" w:hAnsi="Verdana"/>
          <w:sz w:val="18"/>
          <w:szCs w:val="18"/>
        </w:rPr>
      </w:pPr>
      <w:r w:rsidRPr="003E3983">
        <w:rPr>
          <w:rFonts w:ascii="Verdana" w:hAnsi="Verdana"/>
          <w:sz w:val="18"/>
          <w:szCs w:val="18"/>
        </w:rPr>
        <w:t xml:space="preserve">- </w:t>
      </w:r>
      <w:r w:rsidR="00370C6C" w:rsidRPr="003E3983">
        <w:rPr>
          <w:rFonts w:ascii="Verdana" w:hAnsi="Verdana"/>
          <w:sz w:val="18"/>
          <w:szCs w:val="18"/>
        </w:rPr>
        <w:t>publicatiekosten e-</w:t>
      </w:r>
      <w:proofErr w:type="spellStart"/>
      <w:r w:rsidR="00370C6C" w:rsidRPr="003E3983">
        <w:rPr>
          <w:rFonts w:ascii="Verdana" w:hAnsi="Verdana"/>
          <w:sz w:val="18"/>
          <w:szCs w:val="18"/>
        </w:rPr>
        <w:t>staatscourant</w:t>
      </w:r>
      <w:proofErr w:type="spellEnd"/>
      <w:r w:rsidRPr="003E3983">
        <w:rPr>
          <w:rFonts w:ascii="Verdana" w:hAnsi="Verdana"/>
          <w:sz w:val="18"/>
          <w:szCs w:val="18"/>
        </w:rPr>
        <w:tab/>
      </w:r>
      <w:r w:rsidRPr="003E3983">
        <w:rPr>
          <w:rFonts w:ascii="Verdana" w:hAnsi="Verdana"/>
          <w:sz w:val="18"/>
          <w:szCs w:val="18"/>
        </w:rPr>
        <w:tab/>
      </w:r>
      <w:r w:rsidRPr="003E3983">
        <w:rPr>
          <w:rFonts w:ascii="Verdana" w:hAnsi="Verdana"/>
          <w:sz w:val="18"/>
          <w:szCs w:val="18"/>
        </w:rPr>
        <w:tab/>
        <w:t>€ 1</w:t>
      </w:r>
      <w:r w:rsidR="00370C6C" w:rsidRPr="003E3983">
        <w:rPr>
          <w:rFonts w:ascii="Verdana" w:hAnsi="Verdana"/>
          <w:sz w:val="18"/>
          <w:szCs w:val="18"/>
        </w:rPr>
        <w:t>0,0</w:t>
      </w:r>
      <w:r w:rsidRPr="003E3983">
        <w:rPr>
          <w:rFonts w:ascii="Verdana" w:hAnsi="Verdana"/>
          <w:sz w:val="18"/>
          <w:szCs w:val="18"/>
        </w:rPr>
        <w:t xml:space="preserve">0 </w:t>
      </w:r>
    </w:p>
    <w:p w14:paraId="3DDDCE16" w14:textId="77777777" w:rsidR="007E2F66" w:rsidRPr="003E3983" w:rsidRDefault="007E2F66" w:rsidP="003E3983">
      <w:pPr>
        <w:rPr>
          <w:b/>
          <w:u w:val="single"/>
        </w:rPr>
      </w:pPr>
      <w:r w:rsidRPr="003E3983">
        <w:t xml:space="preserve">  </w:t>
      </w:r>
    </w:p>
    <w:p w14:paraId="0137EA61" w14:textId="77777777" w:rsidR="007E2F66" w:rsidRPr="00765E09" w:rsidRDefault="007E2F66" w:rsidP="003E3983">
      <w:r w:rsidRPr="00765E09">
        <w:rPr>
          <w:b/>
        </w:rPr>
        <w:t xml:space="preserve">6.1.2. </w:t>
      </w:r>
      <w:r w:rsidRPr="00765E09">
        <w:t xml:space="preserve">De tarieven voor de verschotten met betrekking tot het inschakelen van derden gedurende de uitvoering van enige opdracht (kosten </w:t>
      </w:r>
      <w:proofErr w:type="spellStart"/>
      <w:r w:rsidRPr="00765E09">
        <w:t>ontruimers</w:t>
      </w:r>
      <w:proofErr w:type="spellEnd"/>
      <w:r w:rsidRPr="00765E09">
        <w:t>, opslagkosten, sleepkosten, kosten slotenmaker, griffierechten, kosten ingeschakelde advocaat, kosten ingeschakelde notaris, kosten vertaler et cetera) zijn gelijk aan de bedragen die de ingeschakelde derden daarvoor aan opdrachtnemer in rekening brengen.</w:t>
      </w:r>
    </w:p>
    <w:p w14:paraId="59272A2F" w14:textId="77777777" w:rsidR="007E2F66" w:rsidRPr="00765E09" w:rsidRDefault="007E2F66" w:rsidP="003E3983"/>
    <w:p w14:paraId="4E8A2797" w14:textId="77777777" w:rsidR="007E2F66" w:rsidRPr="00765E09" w:rsidRDefault="007E2F66" w:rsidP="003E3983">
      <w:r w:rsidRPr="00765E09">
        <w:rPr>
          <w:b/>
          <w:u w:val="single"/>
        </w:rPr>
        <w:t>6.2. EG-verordening:</w:t>
      </w:r>
      <w:r w:rsidRPr="00765E09">
        <w:t xml:space="preserve"> </w:t>
      </w:r>
      <w:r w:rsidRPr="00765E09">
        <w:br/>
        <w:t xml:space="preserve">Indien de opdrachtnemer optreedt als ontvangende instantie als bedoeld in EG-verordening 1393/2007, wordt het wettelijk vastgestelde tarief ad € 65,00 inclusief btw in rekening gebracht. Indien de opdrachtnemer optreedt als verzendende instantie als bedoeld in EG-verordening 1393/2007, wordt voor werkzaamheden, niet vallende onder de ambtshandelingen waarvoor een schuldenaarstarief is vastgesteld, een bedrag in rekening gebracht van </w:t>
      </w:r>
      <w:r w:rsidR="003F646E">
        <w:t>€ 115</w:t>
      </w:r>
      <w:r w:rsidRPr="00765E09">
        <w:t xml:space="preserve">,00 per uur. Deze </w:t>
      </w:r>
      <w:r w:rsidRPr="00765E09">
        <w:lastRenderedPageBreak/>
        <w:t xml:space="preserve">werkzaamheden omvatten onder meer het ontvangen, invullen en verzenden van de voorgeschreven formulieren en het telefonisch en schriftelijk overleg. </w:t>
      </w:r>
    </w:p>
    <w:p w14:paraId="251D9AFB" w14:textId="77777777" w:rsidR="007E2F66" w:rsidRPr="00765E09" w:rsidRDefault="007E2F66" w:rsidP="003E3983"/>
    <w:p w14:paraId="7BCF61D4" w14:textId="77777777" w:rsidR="007E2F66" w:rsidRPr="00311FDC" w:rsidRDefault="007E2F66" w:rsidP="003E3983">
      <w:pPr>
        <w:rPr>
          <w:b/>
        </w:rPr>
      </w:pPr>
      <w:r w:rsidRPr="00311FDC">
        <w:rPr>
          <w:b/>
        </w:rPr>
        <w:t xml:space="preserve">7. afwijkende tarieven </w:t>
      </w:r>
      <w:r w:rsidRPr="00311FDC">
        <w:rPr>
          <w:b/>
        </w:rPr>
        <w:br/>
      </w:r>
    </w:p>
    <w:p w14:paraId="5DE8E944" w14:textId="77777777" w:rsidR="00053DA8" w:rsidRPr="00995E29" w:rsidRDefault="007E2F66" w:rsidP="003E3983">
      <w:r w:rsidRPr="00765E09">
        <w:t xml:space="preserve">Opdrachtgevers kunnen met de opdrachtnemer schriftelijk overeenkomen dat wordt afgeweken van de hierboven omschreven tarieven. Reeds bestaande schriftelijk vastgelegde afspraken worden gehandhaafd, behalve waar het de ambtelijke tarieven betreft. </w:t>
      </w:r>
    </w:p>
    <w:p w14:paraId="4B49BB3B" w14:textId="00F25AC5" w:rsidR="00053DA8" w:rsidRDefault="00053DA8" w:rsidP="003E3983"/>
    <w:p w14:paraId="6C90E62B" w14:textId="77777777" w:rsidR="005C3D3B" w:rsidRDefault="005C3D3B" w:rsidP="003E3983"/>
    <w:p w14:paraId="66A0A4FE" w14:textId="77777777" w:rsidR="007E2F66" w:rsidRPr="00311FDC" w:rsidRDefault="007E2F66" w:rsidP="003E3983">
      <w:pPr>
        <w:rPr>
          <w:b/>
        </w:rPr>
      </w:pPr>
      <w:r w:rsidRPr="00311FDC">
        <w:rPr>
          <w:b/>
        </w:rPr>
        <w:t xml:space="preserve">8. omzetbelasting (btw) </w:t>
      </w:r>
      <w:r w:rsidRPr="00311FDC">
        <w:rPr>
          <w:b/>
        </w:rPr>
        <w:br/>
      </w:r>
    </w:p>
    <w:p w14:paraId="3BE686F4" w14:textId="77777777" w:rsidR="00E46C99" w:rsidRPr="00B255EC" w:rsidRDefault="007E2F66" w:rsidP="003E3983">
      <w:pPr>
        <w:rPr>
          <w:b/>
          <w:u w:val="single"/>
        </w:rPr>
      </w:pPr>
      <w:r w:rsidRPr="00765E09">
        <w:t xml:space="preserve">Alle in deze voorwaarden genoemde bedragen zijn exclusief de daarover verschuldigde omzetbelasting, tenzij anders is vermeld. </w:t>
      </w:r>
    </w:p>
    <w:p w14:paraId="15D420F3" w14:textId="77777777" w:rsidR="00E46C99" w:rsidRDefault="00E46C99" w:rsidP="003E3983"/>
    <w:p w14:paraId="0600C9BF" w14:textId="77777777" w:rsidR="007E2F66" w:rsidRPr="00311FDC" w:rsidRDefault="007E2F66" w:rsidP="003E3983">
      <w:pPr>
        <w:rPr>
          <w:b/>
        </w:rPr>
      </w:pPr>
      <w:r w:rsidRPr="00311FDC">
        <w:rPr>
          <w:b/>
        </w:rPr>
        <w:t xml:space="preserve">9. voorschotten </w:t>
      </w:r>
      <w:r w:rsidRPr="00311FDC">
        <w:rPr>
          <w:b/>
        </w:rPr>
        <w:br/>
      </w:r>
    </w:p>
    <w:p w14:paraId="67485217" w14:textId="77777777" w:rsidR="007E2F66" w:rsidRPr="00765E09" w:rsidRDefault="007E2F66" w:rsidP="003E3983">
      <w:r w:rsidRPr="00765E09">
        <w:rPr>
          <w:b/>
        </w:rPr>
        <w:t>9.1.</w:t>
      </w:r>
      <w:r w:rsidRPr="00765E09">
        <w:t xml:space="preserve"> De opdrachtnemer is gerechtigd voor acceptatie of gedurende de uitvoering van enige opdracht een voorschot te verlangen ter dekking van de te maken kosten en/of te betalen verschotten. </w:t>
      </w:r>
      <w:r w:rsidRPr="00765E09">
        <w:br/>
      </w:r>
    </w:p>
    <w:p w14:paraId="65C59274" w14:textId="346E4388" w:rsidR="00B255EC" w:rsidRDefault="007E2F66" w:rsidP="003E3983">
      <w:r w:rsidRPr="00765E09">
        <w:rPr>
          <w:b/>
        </w:rPr>
        <w:t>9.2.</w:t>
      </w:r>
      <w:r w:rsidRPr="00765E09">
        <w:t xml:space="preserve"> Indien voor een opdrachtgever meerdere zaken in behandeling zijn, wordt een eventueel positief saldo in één van die zaken aangemerkt als voorschot in die en de andere ten behoeve van de opdrachtgever in behandeling zijnde zaken, tenzij andersluidende schriftelijke afspraken zijn gemaakt met betrekking tot tussentijdse afdracht van de geïncasseerde bedragen. </w:t>
      </w:r>
      <w:r w:rsidRPr="00765E09">
        <w:br/>
      </w:r>
    </w:p>
    <w:p w14:paraId="67905FFA" w14:textId="77777777" w:rsidR="007E2F66" w:rsidRPr="00A7242C" w:rsidRDefault="007E2F66" w:rsidP="003E3983">
      <w:pPr>
        <w:rPr>
          <w:b/>
        </w:rPr>
      </w:pPr>
      <w:r w:rsidRPr="00A7242C">
        <w:rPr>
          <w:b/>
        </w:rPr>
        <w:t xml:space="preserve">10. indexering </w:t>
      </w:r>
      <w:r w:rsidRPr="00A7242C">
        <w:rPr>
          <w:b/>
        </w:rPr>
        <w:br/>
      </w:r>
    </w:p>
    <w:p w14:paraId="28BEF2FB" w14:textId="77777777" w:rsidR="00995E29" w:rsidRPr="00A7242C" w:rsidRDefault="007E2F66" w:rsidP="003E3983">
      <w:pPr>
        <w:rPr>
          <w:b/>
          <w:color w:val="008000"/>
        </w:rPr>
      </w:pPr>
      <w:r w:rsidRPr="00765E09">
        <w:t xml:space="preserve">Periodiek - normaliter jaarlijks - zal indexering van het opdrachtgeverstarief plaatsvinden. </w:t>
      </w:r>
      <w:r w:rsidRPr="00765E09">
        <w:br/>
      </w:r>
    </w:p>
    <w:p w14:paraId="407C5602" w14:textId="77777777" w:rsidR="007E2F66" w:rsidRPr="00765E09" w:rsidRDefault="007E2F66" w:rsidP="003E3983">
      <w:r w:rsidRPr="00A7242C">
        <w:rPr>
          <w:b/>
        </w:rPr>
        <w:t>11. betalingen</w:t>
      </w:r>
      <w:r w:rsidRPr="00765E09">
        <w:t xml:space="preserve"> </w:t>
      </w:r>
      <w:r w:rsidRPr="00765E09">
        <w:br/>
      </w:r>
    </w:p>
    <w:p w14:paraId="7CFC67DC" w14:textId="77777777" w:rsidR="007E2F66" w:rsidRPr="00765E09" w:rsidRDefault="007E2F66" w:rsidP="003E3983">
      <w:r w:rsidRPr="00765E09">
        <w:rPr>
          <w:b/>
        </w:rPr>
        <w:t>11.1.</w:t>
      </w:r>
      <w:r w:rsidRPr="00765E09">
        <w:t xml:space="preserve"> De opdrachtnemer is gerechtigd om door een opdrachtgever verschuldigde bedragen te verrekenen met door hem in opdracht van dezelfde opdrachtgever geïncasseerde bedragen. </w:t>
      </w:r>
      <w:r w:rsidRPr="00765E09">
        <w:br/>
      </w:r>
    </w:p>
    <w:p w14:paraId="7A295AA7" w14:textId="77777777" w:rsidR="007E2F66" w:rsidRPr="00765E09" w:rsidRDefault="007E2F66" w:rsidP="003E3983">
      <w:r w:rsidRPr="00765E09">
        <w:rPr>
          <w:b/>
        </w:rPr>
        <w:t>11.2.</w:t>
      </w:r>
      <w:r w:rsidRPr="00765E09">
        <w:t xml:space="preserve"> De opdrachtnemer is gerechtigd om van de in opdracht van dezelfde opdrachtgever geïncasseerde bedragen een bepaald bedrag onder zich te houden bij wijze van voorschot als bedoeld in artikel 9. </w:t>
      </w:r>
      <w:r w:rsidRPr="00765E09">
        <w:br/>
      </w:r>
    </w:p>
    <w:p w14:paraId="1F87C310" w14:textId="77777777" w:rsidR="007E2F66" w:rsidRPr="00765E09" w:rsidRDefault="007E2F66" w:rsidP="003E3983">
      <w:r w:rsidRPr="00765E09">
        <w:rPr>
          <w:b/>
        </w:rPr>
        <w:t>11.3.</w:t>
      </w:r>
      <w:r w:rsidRPr="00765E09">
        <w:t xml:space="preserve"> De opdrachtnemer is gerechtigd en door de opdrachtgever uitdrukkelijk gemachtigd om ter effectuering van de onder 11.1. bedoelde verrekening en de onder 11.2. bedoelde bevoorschotting van de voor de opdrachtgever op de derdengeldrekening(en) van de opdrachtnemer ontvangen gelden de voor die verrekening en bevoorschotting bestemde gelden af te boeken. </w:t>
      </w:r>
      <w:r w:rsidRPr="00765E09">
        <w:br/>
      </w:r>
    </w:p>
    <w:p w14:paraId="3653032C" w14:textId="77777777" w:rsidR="0056152B" w:rsidRDefault="007E2F66" w:rsidP="003E3983">
      <w:r w:rsidRPr="00765E09">
        <w:rPr>
          <w:b/>
        </w:rPr>
        <w:t>11.4.</w:t>
      </w:r>
      <w:r w:rsidRPr="00765E09">
        <w:t xml:space="preserve"> Betaling van al hetgeen aan de opdrachtnemer verschuldigd is, dient te geschieden binnen 30 dagen na dagtekening van de declaratie die de opdrachtnemer aan zijn opdrachtgever heeft toegezonden</w:t>
      </w:r>
      <w:r w:rsidR="00A7242C">
        <w:t>.</w:t>
      </w:r>
    </w:p>
    <w:p w14:paraId="29AD77F7" w14:textId="77777777" w:rsidR="00A7242C" w:rsidRPr="003E3983" w:rsidRDefault="00A7242C" w:rsidP="003E3983"/>
    <w:p w14:paraId="7EE0156B" w14:textId="77777777" w:rsidR="007E2F66" w:rsidRPr="00167585" w:rsidRDefault="007E2F66" w:rsidP="003E3983">
      <w:pPr>
        <w:rPr>
          <w:b/>
        </w:rPr>
      </w:pPr>
      <w:r w:rsidRPr="00167585">
        <w:rPr>
          <w:b/>
        </w:rPr>
        <w:t>12. afrekening</w:t>
      </w:r>
    </w:p>
    <w:p w14:paraId="75A2B024" w14:textId="77777777" w:rsidR="007E2F66" w:rsidRPr="00765E09" w:rsidRDefault="007E2F66" w:rsidP="003E3983"/>
    <w:p w14:paraId="7D4C4218" w14:textId="77777777" w:rsidR="007E2F66" w:rsidRPr="00765E09" w:rsidRDefault="007E2F66" w:rsidP="003E3983">
      <w:r w:rsidRPr="00765E09">
        <w:rPr>
          <w:b/>
        </w:rPr>
        <w:t>12.1.</w:t>
      </w:r>
      <w:r w:rsidRPr="00765E09">
        <w:t xml:space="preserve"> De opdrachtgever heeft aanspraak op de door ter zake de ter incasso gegeven vordering door de opdrachtnemer ontvangen aflossingen op hoofdsommen en renten, verminderd met de verschotten en de aan de opdrachtnemer toekomende vergoedingen. Betalingen door schuldenaren verricht aan de opdrachtnemer dan wel aan de opdrachtgever strekken eerst ter dekking van de door of namens de opdrachtnemer gemaakte kosten en/of verschotten en komen als zodanig direct toe aan de opdrachtnemer.</w:t>
      </w:r>
    </w:p>
    <w:p w14:paraId="71909E02" w14:textId="77777777" w:rsidR="007E2F66" w:rsidRPr="00765E09" w:rsidRDefault="007E2F66" w:rsidP="003E3983"/>
    <w:p w14:paraId="540AA657" w14:textId="77777777" w:rsidR="007E2F66" w:rsidRPr="00765E09" w:rsidRDefault="007E2F66" w:rsidP="003E3983">
      <w:r w:rsidRPr="00765E09">
        <w:rPr>
          <w:b/>
        </w:rPr>
        <w:t>12.2.</w:t>
      </w:r>
      <w:r w:rsidRPr="00765E09">
        <w:t xml:space="preserve"> Behoudens specifieke (andersluidende) afspraken tussen de opdrachtgever en de opdrachtnemer zal de opdrachtnemer, met inachtneming van het bepaalde in 11.1 tot en met 11.3, maandelijks tussentijds op portefeuilleniveau de door haar ontvangen gelden aan de opdrachtgever afdragen en wel onder aftrek van het conform het vorenstaande aan de opdrachtnemer toekomende, zulks met een minimum van € 500,00 per opdrachtgever.</w:t>
      </w:r>
    </w:p>
    <w:p w14:paraId="379C3BEF" w14:textId="77777777" w:rsidR="007E2F66" w:rsidRPr="00765E09" w:rsidRDefault="007E2F66" w:rsidP="003E3983">
      <w:r w:rsidRPr="00765E09">
        <w:lastRenderedPageBreak/>
        <w:t xml:space="preserve">  </w:t>
      </w:r>
    </w:p>
    <w:p w14:paraId="7FB421FA" w14:textId="77777777" w:rsidR="007E2F66" w:rsidRPr="00311FDC" w:rsidRDefault="007E2F66" w:rsidP="003E3983">
      <w:pPr>
        <w:rPr>
          <w:b/>
        </w:rPr>
      </w:pPr>
      <w:r w:rsidRPr="00311FDC">
        <w:rPr>
          <w:b/>
        </w:rPr>
        <w:t xml:space="preserve">13. aansprakelijkheid </w:t>
      </w:r>
    </w:p>
    <w:p w14:paraId="3C887213" w14:textId="77777777" w:rsidR="00E46C99" w:rsidRDefault="007E2F66" w:rsidP="003E3983">
      <w:r w:rsidRPr="00765E09">
        <w:br/>
        <w:t>De opdrachtnemer is niet aansprakelijk voor schade als gevolg van de door de opdrachtnemer gegeven adviezen en/of verrichte werkzaamheden, tenzij wordt aangetoond dat er sprake is van opzet of grove schuld.</w:t>
      </w:r>
    </w:p>
    <w:p w14:paraId="598D1F4A" w14:textId="77777777" w:rsidR="00E46C99" w:rsidRPr="00311FDC" w:rsidRDefault="00E46C99" w:rsidP="003E3983">
      <w:pPr>
        <w:rPr>
          <w:b/>
        </w:rPr>
      </w:pPr>
    </w:p>
    <w:p w14:paraId="15F6324D" w14:textId="77777777" w:rsidR="00E46C99" w:rsidRPr="00311FDC" w:rsidRDefault="00E46C99" w:rsidP="003E3983">
      <w:pPr>
        <w:rPr>
          <w:b/>
        </w:rPr>
      </w:pPr>
      <w:r w:rsidRPr="00311FDC">
        <w:rPr>
          <w:b/>
        </w:rPr>
        <w:t xml:space="preserve">14. </w:t>
      </w:r>
      <w:proofErr w:type="spellStart"/>
      <w:r w:rsidRPr="00311FDC">
        <w:rPr>
          <w:b/>
        </w:rPr>
        <w:t>battle</w:t>
      </w:r>
      <w:proofErr w:type="spellEnd"/>
      <w:r w:rsidRPr="00311FDC">
        <w:rPr>
          <w:b/>
        </w:rPr>
        <w:t xml:space="preserve"> of </w:t>
      </w:r>
      <w:proofErr w:type="spellStart"/>
      <w:r w:rsidRPr="00311FDC">
        <w:rPr>
          <w:b/>
        </w:rPr>
        <w:t>forms</w:t>
      </w:r>
      <w:proofErr w:type="spellEnd"/>
    </w:p>
    <w:p w14:paraId="20F47457" w14:textId="77777777" w:rsidR="00E46C99" w:rsidRPr="006E7595" w:rsidRDefault="00E46C99" w:rsidP="003E3983"/>
    <w:p w14:paraId="5D1FE234" w14:textId="77777777" w:rsidR="008C632B" w:rsidRPr="006E7595" w:rsidRDefault="008C632B" w:rsidP="003E3983">
      <w:r w:rsidRPr="006E7595">
        <w:t>Met betrekking tot de opdracht van opdrachtgever aan opdrachtnemer zijn de algemene voorwaarden van opdracht</w:t>
      </w:r>
      <w:r w:rsidR="00167585">
        <w:t>nemer</w:t>
      </w:r>
      <w:r w:rsidRPr="006E7595">
        <w:t xml:space="preserve"> van toepassing, met uitsluiting van die van opdrachtgever.</w:t>
      </w:r>
    </w:p>
    <w:p w14:paraId="2B35D25D" w14:textId="77777777" w:rsidR="007E2F66" w:rsidRPr="006E7595" w:rsidRDefault="007E2F66" w:rsidP="003E3983"/>
    <w:p w14:paraId="4AD3FBB9" w14:textId="77777777" w:rsidR="007E2F66" w:rsidRPr="00311FDC" w:rsidRDefault="007E2F66" w:rsidP="003E3983">
      <w:pPr>
        <w:rPr>
          <w:b/>
        </w:rPr>
      </w:pPr>
      <w:r w:rsidRPr="00311FDC">
        <w:rPr>
          <w:b/>
        </w:rPr>
        <w:t>1</w:t>
      </w:r>
      <w:r w:rsidR="00E46C99" w:rsidRPr="00311FDC">
        <w:rPr>
          <w:b/>
        </w:rPr>
        <w:t>5</w:t>
      </w:r>
      <w:r w:rsidRPr="00311FDC">
        <w:rPr>
          <w:b/>
        </w:rPr>
        <w:t>. inwerkingtreding</w:t>
      </w:r>
    </w:p>
    <w:p w14:paraId="416CBC0D" w14:textId="77777777" w:rsidR="007E2F66" w:rsidRPr="00E46C99" w:rsidRDefault="007E2F66" w:rsidP="003E3983">
      <w:pPr>
        <w:rPr>
          <w:highlight w:val="yellow"/>
        </w:rPr>
      </w:pPr>
    </w:p>
    <w:p w14:paraId="03772262" w14:textId="2E4BF44F" w:rsidR="007E2F66" w:rsidRPr="00167585" w:rsidRDefault="007E2F66" w:rsidP="003E3983">
      <w:pPr>
        <w:rPr>
          <w:u w:val="single"/>
        </w:rPr>
      </w:pPr>
      <w:r w:rsidRPr="00167585">
        <w:t xml:space="preserve">Deze algemene voorwaarden treden in werking op </w:t>
      </w:r>
      <w:r w:rsidR="00F6339B" w:rsidRPr="00167585">
        <w:t>01 januari 20</w:t>
      </w:r>
      <w:r w:rsidR="0071045E">
        <w:t>2</w:t>
      </w:r>
      <w:r w:rsidR="00A43AB6">
        <w:t>1</w:t>
      </w:r>
      <w:r w:rsidRPr="00167585">
        <w:t xml:space="preserve"> en gelden voor zaken die vanaf die datum door opdrachtnemer in behandeling worden genomen.</w:t>
      </w:r>
    </w:p>
    <w:p w14:paraId="0C6EAD0C" w14:textId="79673B92" w:rsidR="00650EB5" w:rsidRPr="00167585" w:rsidRDefault="007E2F66" w:rsidP="003E3983">
      <w:r w:rsidRPr="00167585">
        <w:rPr>
          <w:u w:val="single"/>
        </w:rPr>
        <w:t>Alphen aan den Rijn, 01 januari 20</w:t>
      </w:r>
      <w:r w:rsidR="0071045E">
        <w:rPr>
          <w:u w:val="single"/>
        </w:rPr>
        <w:t>2</w:t>
      </w:r>
      <w:r w:rsidR="00A43AB6">
        <w:rPr>
          <w:u w:val="single"/>
        </w:rPr>
        <w:t>1</w:t>
      </w:r>
      <w:r w:rsidRPr="00167585">
        <w:t xml:space="preserve"> </w:t>
      </w:r>
      <w:r w:rsidRPr="00167585">
        <w:br/>
        <w:t>© Gerechtsdeurwaarderskantoor De Kluijver</w:t>
      </w:r>
      <w:bookmarkEnd w:id="0"/>
    </w:p>
    <w:sectPr w:rsidR="00650EB5" w:rsidRPr="00167585" w:rsidSect="00F8404F">
      <w:headerReference w:type="default" r:id="rId8"/>
      <w:footerReference w:type="default" r:id="rId9"/>
      <w:pgSz w:w="11909" w:h="16834" w:code="9"/>
      <w:pgMar w:top="851" w:right="1417" w:bottom="142" w:left="141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5F64" w14:textId="77777777" w:rsidR="005C3D3B" w:rsidRDefault="005C3D3B" w:rsidP="005C3D3B">
      <w:r>
        <w:separator/>
      </w:r>
    </w:p>
  </w:endnote>
  <w:endnote w:type="continuationSeparator" w:id="0">
    <w:p w14:paraId="0BC4A126" w14:textId="77777777" w:rsidR="005C3D3B" w:rsidRDefault="005C3D3B" w:rsidP="005C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64E4" w14:textId="77777777" w:rsidR="005C3D3B" w:rsidRDefault="005C3D3B" w:rsidP="005C3D3B">
    <w:pPr>
      <w:tabs>
        <w:tab w:val="center" w:pos="4536"/>
        <w:tab w:val="right" w:pos="9072"/>
      </w:tabs>
      <w:rPr>
        <w:rFonts w:cs="Times New Roman"/>
        <w:bCs w:val="0"/>
        <w:sz w:val="14"/>
        <w:szCs w:val="14"/>
        <w:lang w:eastAsia="nl-NL"/>
      </w:rPr>
    </w:pPr>
  </w:p>
  <w:p w14:paraId="7E5934A6" w14:textId="6FE24B65" w:rsidR="005C3D3B" w:rsidRPr="005C3D3B" w:rsidRDefault="005C3D3B" w:rsidP="005C3D3B">
    <w:pPr>
      <w:tabs>
        <w:tab w:val="center" w:pos="4536"/>
        <w:tab w:val="right" w:pos="9072"/>
      </w:tabs>
      <w:rPr>
        <w:rFonts w:cs="Times New Roman"/>
        <w:bCs w:val="0"/>
        <w:sz w:val="14"/>
        <w:szCs w:val="14"/>
        <w:lang w:eastAsia="nl-NL"/>
      </w:rPr>
    </w:pPr>
    <w:r w:rsidRPr="005C3D3B">
      <w:rPr>
        <w:rFonts w:cs="Times New Roman"/>
        <w:bCs w:val="0"/>
        <w:sz w:val="14"/>
        <w:szCs w:val="14"/>
        <w:lang w:eastAsia="nl-NL"/>
      </w:rPr>
      <w:t>Koninklijke Beroepsorganisatie van Gerechtsdeurwaarders | Keurmerk Sociaal Verantwoord Incasseren</w:t>
    </w:r>
  </w:p>
  <w:p w14:paraId="3F45D0B8" w14:textId="77777777" w:rsidR="005C3D3B" w:rsidRPr="005C3D3B" w:rsidRDefault="005C3D3B" w:rsidP="005C3D3B">
    <w:pPr>
      <w:tabs>
        <w:tab w:val="center" w:pos="4536"/>
        <w:tab w:val="right" w:pos="9072"/>
      </w:tabs>
      <w:rPr>
        <w:rFonts w:cs="Times New Roman"/>
        <w:bCs w:val="0"/>
        <w:sz w:val="14"/>
        <w:szCs w:val="14"/>
        <w:lang w:eastAsia="nl-NL"/>
      </w:rPr>
    </w:pPr>
    <w:r w:rsidRPr="005C3D3B">
      <w:rPr>
        <w:rFonts w:cs="Times New Roman"/>
        <w:bCs w:val="0"/>
        <w:sz w:val="14"/>
        <w:szCs w:val="14"/>
        <w:lang w:eastAsia="nl-NL"/>
      </w:rPr>
      <w:t xml:space="preserve">Versie januari 2021 </w:t>
    </w:r>
  </w:p>
  <w:p w14:paraId="0F16BC7F" w14:textId="691B3367" w:rsidR="005C3D3B" w:rsidRDefault="005C3D3B">
    <w:pPr>
      <w:pStyle w:val="Voettekst"/>
    </w:pPr>
  </w:p>
  <w:p w14:paraId="4AE73C70" w14:textId="77777777" w:rsidR="005C3D3B" w:rsidRDefault="005C3D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8FB2" w14:textId="77777777" w:rsidR="005C3D3B" w:rsidRDefault="005C3D3B" w:rsidP="005C3D3B">
      <w:r>
        <w:separator/>
      </w:r>
    </w:p>
  </w:footnote>
  <w:footnote w:type="continuationSeparator" w:id="0">
    <w:p w14:paraId="76B6883E" w14:textId="77777777" w:rsidR="005C3D3B" w:rsidRDefault="005C3D3B" w:rsidP="005C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2AD" w14:textId="42B2A01C" w:rsidR="005C3D3B" w:rsidRDefault="005C3D3B" w:rsidP="005C3D3B">
    <w:pPr>
      <w:pStyle w:val="Koptekst"/>
      <w:jc w:val="right"/>
    </w:pPr>
    <w:r>
      <w:rPr>
        <w:noProof/>
      </w:rPr>
      <w:drawing>
        <wp:inline distT="0" distB="0" distL="0" distR="0" wp14:anchorId="59B5311B" wp14:editId="1729B7F8">
          <wp:extent cx="2090420" cy="697865"/>
          <wp:effectExtent l="0" t="0" r="5080" b="698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6978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66"/>
    <w:rsid w:val="000154ED"/>
    <w:rsid w:val="00021D0B"/>
    <w:rsid w:val="00032553"/>
    <w:rsid w:val="000427EE"/>
    <w:rsid w:val="00042C88"/>
    <w:rsid w:val="00053DA8"/>
    <w:rsid w:val="00055882"/>
    <w:rsid w:val="00057F8C"/>
    <w:rsid w:val="0006015B"/>
    <w:rsid w:val="000624E1"/>
    <w:rsid w:val="00063155"/>
    <w:rsid w:val="00065937"/>
    <w:rsid w:val="00065A66"/>
    <w:rsid w:val="000732AB"/>
    <w:rsid w:val="00093BCC"/>
    <w:rsid w:val="000C327E"/>
    <w:rsid w:val="000C55E8"/>
    <w:rsid w:val="000D77C8"/>
    <w:rsid w:val="000E5F72"/>
    <w:rsid w:val="000F1F7D"/>
    <w:rsid w:val="000F303E"/>
    <w:rsid w:val="000F796E"/>
    <w:rsid w:val="00114F20"/>
    <w:rsid w:val="00115129"/>
    <w:rsid w:val="00120753"/>
    <w:rsid w:val="001232B3"/>
    <w:rsid w:val="001504C4"/>
    <w:rsid w:val="0016744F"/>
    <w:rsid w:val="00167585"/>
    <w:rsid w:val="00173800"/>
    <w:rsid w:val="00177484"/>
    <w:rsid w:val="00186959"/>
    <w:rsid w:val="001A1BA4"/>
    <w:rsid w:val="001A616B"/>
    <w:rsid w:val="001B18AB"/>
    <w:rsid w:val="001D7CCB"/>
    <w:rsid w:val="001E2BC2"/>
    <w:rsid w:val="001E521F"/>
    <w:rsid w:val="001E713B"/>
    <w:rsid w:val="001F14F4"/>
    <w:rsid w:val="001F2B10"/>
    <w:rsid w:val="001F5AD3"/>
    <w:rsid w:val="001F75D1"/>
    <w:rsid w:val="0023756F"/>
    <w:rsid w:val="0023785E"/>
    <w:rsid w:val="00264216"/>
    <w:rsid w:val="00265541"/>
    <w:rsid w:val="00280CC8"/>
    <w:rsid w:val="00294E84"/>
    <w:rsid w:val="002B288C"/>
    <w:rsid w:val="002B3C56"/>
    <w:rsid w:val="002B55EF"/>
    <w:rsid w:val="002B7C4F"/>
    <w:rsid w:val="002C7AF2"/>
    <w:rsid w:val="002D0C0E"/>
    <w:rsid w:val="002D3FE5"/>
    <w:rsid w:val="002D6E46"/>
    <w:rsid w:val="002E0F18"/>
    <w:rsid w:val="002E1145"/>
    <w:rsid w:val="002E4405"/>
    <w:rsid w:val="002F7936"/>
    <w:rsid w:val="00310380"/>
    <w:rsid w:val="00311FDC"/>
    <w:rsid w:val="00317DA6"/>
    <w:rsid w:val="00317FD9"/>
    <w:rsid w:val="00322E5F"/>
    <w:rsid w:val="00323AA4"/>
    <w:rsid w:val="003302DD"/>
    <w:rsid w:val="00332888"/>
    <w:rsid w:val="00350379"/>
    <w:rsid w:val="0035075D"/>
    <w:rsid w:val="00353D99"/>
    <w:rsid w:val="0035422E"/>
    <w:rsid w:val="00370C6C"/>
    <w:rsid w:val="00375C41"/>
    <w:rsid w:val="003770BE"/>
    <w:rsid w:val="00381263"/>
    <w:rsid w:val="003A1F8E"/>
    <w:rsid w:val="003A693C"/>
    <w:rsid w:val="003B13B2"/>
    <w:rsid w:val="003B2A80"/>
    <w:rsid w:val="003B30AA"/>
    <w:rsid w:val="003B560B"/>
    <w:rsid w:val="003B7D7C"/>
    <w:rsid w:val="003D0EBC"/>
    <w:rsid w:val="003D1FF1"/>
    <w:rsid w:val="003D5081"/>
    <w:rsid w:val="003D789C"/>
    <w:rsid w:val="003E3983"/>
    <w:rsid w:val="003E7005"/>
    <w:rsid w:val="003F4304"/>
    <w:rsid w:val="003F646E"/>
    <w:rsid w:val="004042E4"/>
    <w:rsid w:val="00406066"/>
    <w:rsid w:val="00416712"/>
    <w:rsid w:val="004241D0"/>
    <w:rsid w:val="00437DBF"/>
    <w:rsid w:val="00443CEF"/>
    <w:rsid w:val="004524B3"/>
    <w:rsid w:val="00452C44"/>
    <w:rsid w:val="00453C1F"/>
    <w:rsid w:val="00455C36"/>
    <w:rsid w:val="00470FD1"/>
    <w:rsid w:val="004729AB"/>
    <w:rsid w:val="00480C33"/>
    <w:rsid w:val="00480EDE"/>
    <w:rsid w:val="004829B6"/>
    <w:rsid w:val="00484C71"/>
    <w:rsid w:val="004A167D"/>
    <w:rsid w:val="004A608E"/>
    <w:rsid w:val="004B3D4B"/>
    <w:rsid w:val="004B581E"/>
    <w:rsid w:val="004C6B8D"/>
    <w:rsid w:val="004D52AA"/>
    <w:rsid w:val="004D5ACC"/>
    <w:rsid w:val="004D78CE"/>
    <w:rsid w:val="004E5E9B"/>
    <w:rsid w:val="004F7B80"/>
    <w:rsid w:val="005071E3"/>
    <w:rsid w:val="00514113"/>
    <w:rsid w:val="00514ECB"/>
    <w:rsid w:val="00527609"/>
    <w:rsid w:val="00535514"/>
    <w:rsid w:val="00545765"/>
    <w:rsid w:val="00552E06"/>
    <w:rsid w:val="0056152B"/>
    <w:rsid w:val="00565C83"/>
    <w:rsid w:val="005734CC"/>
    <w:rsid w:val="00582C17"/>
    <w:rsid w:val="005930E1"/>
    <w:rsid w:val="0059577B"/>
    <w:rsid w:val="00596570"/>
    <w:rsid w:val="005A27F8"/>
    <w:rsid w:val="005B0D76"/>
    <w:rsid w:val="005B3257"/>
    <w:rsid w:val="005B646F"/>
    <w:rsid w:val="005C310F"/>
    <w:rsid w:val="005C3D3B"/>
    <w:rsid w:val="005F793E"/>
    <w:rsid w:val="00600F38"/>
    <w:rsid w:val="0060634A"/>
    <w:rsid w:val="00606CAF"/>
    <w:rsid w:val="00612AB5"/>
    <w:rsid w:val="0061768B"/>
    <w:rsid w:val="006236D4"/>
    <w:rsid w:val="00627A53"/>
    <w:rsid w:val="00630E70"/>
    <w:rsid w:val="00633115"/>
    <w:rsid w:val="0063311C"/>
    <w:rsid w:val="0064084D"/>
    <w:rsid w:val="006447B2"/>
    <w:rsid w:val="00650EB5"/>
    <w:rsid w:val="006609F3"/>
    <w:rsid w:val="00665CE8"/>
    <w:rsid w:val="0068449F"/>
    <w:rsid w:val="006A2668"/>
    <w:rsid w:val="006A5DFE"/>
    <w:rsid w:val="006A6612"/>
    <w:rsid w:val="006B3FD8"/>
    <w:rsid w:val="006C7CF7"/>
    <w:rsid w:val="006E0729"/>
    <w:rsid w:val="006E3057"/>
    <w:rsid w:val="006E44B6"/>
    <w:rsid w:val="006E7595"/>
    <w:rsid w:val="007037F9"/>
    <w:rsid w:val="007041BE"/>
    <w:rsid w:val="0071045E"/>
    <w:rsid w:val="0071526A"/>
    <w:rsid w:val="0072512E"/>
    <w:rsid w:val="00725F8B"/>
    <w:rsid w:val="007362A3"/>
    <w:rsid w:val="00740D36"/>
    <w:rsid w:val="007441B3"/>
    <w:rsid w:val="0075090E"/>
    <w:rsid w:val="00751A38"/>
    <w:rsid w:val="00751FDA"/>
    <w:rsid w:val="007611AF"/>
    <w:rsid w:val="007853E2"/>
    <w:rsid w:val="00794DAA"/>
    <w:rsid w:val="007967D7"/>
    <w:rsid w:val="007C006E"/>
    <w:rsid w:val="007E2F66"/>
    <w:rsid w:val="007F6EA0"/>
    <w:rsid w:val="00801931"/>
    <w:rsid w:val="0080382E"/>
    <w:rsid w:val="00817D64"/>
    <w:rsid w:val="0082750E"/>
    <w:rsid w:val="008275EC"/>
    <w:rsid w:val="00827873"/>
    <w:rsid w:val="008465B2"/>
    <w:rsid w:val="00847E07"/>
    <w:rsid w:val="00850B73"/>
    <w:rsid w:val="00857F9C"/>
    <w:rsid w:val="0087359A"/>
    <w:rsid w:val="00875747"/>
    <w:rsid w:val="00876116"/>
    <w:rsid w:val="00881601"/>
    <w:rsid w:val="008A2448"/>
    <w:rsid w:val="008C6177"/>
    <w:rsid w:val="008C632B"/>
    <w:rsid w:val="008D02CF"/>
    <w:rsid w:val="008D25FA"/>
    <w:rsid w:val="008E5134"/>
    <w:rsid w:val="008E577C"/>
    <w:rsid w:val="00904E86"/>
    <w:rsid w:val="00907C42"/>
    <w:rsid w:val="0091341F"/>
    <w:rsid w:val="00913F8C"/>
    <w:rsid w:val="0091413D"/>
    <w:rsid w:val="0091417F"/>
    <w:rsid w:val="00920D04"/>
    <w:rsid w:val="00923BC5"/>
    <w:rsid w:val="00923E8B"/>
    <w:rsid w:val="00933C68"/>
    <w:rsid w:val="00935A10"/>
    <w:rsid w:val="00937D51"/>
    <w:rsid w:val="0095363F"/>
    <w:rsid w:val="009578A8"/>
    <w:rsid w:val="0097148A"/>
    <w:rsid w:val="009716F4"/>
    <w:rsid w:val="0098077A"/>
    <w:rsid w:val="00987940"/>
    <w:rsid w:val="00987C9F"/>
    <w:rsid w:val="00995E29"/>
    <w:rsid w:val="009B1999"/>
    <w:rsid w:val="009C3689"/>
    <w:rsid w:val="009C6787"/>
    <w:rsid w:val="009C76BB"/>
    <w:rsid w:val="009C7EAC"/>
    <w:rsid w:val="009D2213"/>
    <w:rsid w:val="009D371C"/>
    <w:rsid w:val="009F22D9"/>
    <w:rsid w:val="009F3078"/>
    <w:rsid w:val="00A0223E"/>
    <w:rsid w:val="00A0387E"/>
    <w:rsid w:val="00A07CAA"/>
    <w:rsid w:val="00A12D86"/>
    <w:rsid w:val="00A3640C"/>
    <w:rsid w:val="00A43AB6"/>
    <w:rsid w:val="00A47AB3"/>
    <w:rsid w:val="00A70420"/>
    <w:rsid w:val="00A7242C"/>
    <w:rsid w:val="00A75215"/>
    <w:rsid w:val="00A759EF"/>
    <w:rsid w:val="00A77152"/>
    <w:rsid w:val="00A87CD1"/>
    <w:rsid w:val="00A94B8F"/>
    <w:rsid w:val="00A96E20"/>
    <w:rsid w:val="00AA36F2"/>
    <w:rsid w:val="00AA3C23"/>
    <w:rsid w:val="00AB1409"/>
    <w:rsid w:val="00AB26BD"/>
    <w:rsid w:val="00AB4934"/>
    <w:rsid w:val="00AB7734"/>
    <w:rsid w:val="00AB7916"/>
    <w:rsid w:val="00AD3307"/>
    <w:rsid w:val="00B05A06"/>
    <w:rsid w:val="00B15D2E"/>
    <w:rsid w:val="00B17102"/>
    <w:rsid w:val="00B17311"/>
    <w:rsid w:val="00B25508"/>
    <w:rsid w:val="00B255EC"/>
    <w:rsid w:val="00B43A0C"/>
    <w:rsid w:val="00B52919"/>
    <w:rsid w:val="00B54250"/>
    <w:rsid w:val="00B54CD2"/>
    <w:rsid w:val="00B66EF8"/>
    <w:rsid w:val="00B83596"/>
    <w:rsid w:val="00B86E2D"/>
    <w:rsid w:val="00BA04CF"/>
    <w:rsid w:val="00BA280D"/>
    <w:rsid w:val="00BA4257"/>
    <w:rsid w:val="00BA6502"/>
    <w:rsid w:val="00BA69D2"/>
    <w:rsid w:val="00BB0098"/>
    <w:rsid w:val="00BB237B"/>
    <w:rsid w:val="00BC073B"/>
    <w:rsid w:val="00BC520D"/>
    <w:rsid w:val="00BC5683"/>
    <w:rsid w:val="00BD11C4"/>
    <w:rsid w:val="00C15D91"/>
    <w:rsid w:val="00C20152"/>
    <w:rsid w:val="00C3117F"/>
    <w:rsid w:val="00C60D73"/>
    <w:rsid w:val="00C62E94"/>
    <w:rsid w:val="00C63BDF"/>
    <w:rsid w:val="00C90AF6"/>
    <w:rsid w:val="00C934C9"/>
    <w:rsid w:val="00CA42EE"/>
    <w:rsid w:val="00CC41D3"/>
    <w:rsid w:val="00CC6973"/>
    <w:rsid w:val="00CD0063"/>
    <w:rsid w:val="00CD1CBA"/>
    <w:rsid w:val="00CE0710"/>
    <w:rsid w:val="00CF127A"/>
    <w:rsid w:val="00CF3C02"/>
    <w:rsid w:val="00D14FA7"/>
    <w:rsid w:val="00D26D3C"/>
    <w:rsid w:val="00D361D5"/>
    <w:rsid w:val="00D40F90"/>
    <w:rsid w:val="00D43C80"/>
    <w:rsid w:val="00D60956"/>
    <w:rsid w:val="00D648E1"/>
    <w:rsid w:val="00D7687E"/>
    <w:rsid w:val="00D76DED"/>
    <w:rsid w:val="00D8736F"/>
    <w:rsid w:val="00D934DD"/>
    <w:rsid w:val="00D95FF3"/>
    <w:rsid w:val="00DA0E15"/>
    <w:rsid w:val="00DC12C7"/>
    <w:rsid w:val="00DC1F9A"/>
    <w:rsid w:val="00DC2B60"/>
    <w:rsid w:val="00DD013B"/>
    <w:rsid w:val="00DD2DF0"/>
    <w:rsid w:val="00DE619F"/>
    <w:rsid w:val="00DF1134"/>
    <w:rsid w:val="00DF40AA"/>
    <w:rsid w:val="00DF4141"/>
    <w:rsid w:val="00DF4BA8"/>
    <w:rsid w:val="00E02A7D"/>
    <w:rsid w:val="00E23C8C"/>
    <w:rsid w:val="00E4593C"/>
    <w:rsid w:val="00E46C99"/>
    <w:rsid w:val="00E522C3"/>
    <w:rsid w:val="00E95A11"/>
    <w:rsid w:val="00EA1257"/>
    <w:rsid w:val="00EA4339"/>
    <w:rsid w:val="00EB4E9E"/>
    <w:rsid w:val="00EC3B5B"/>
    <w:rsid w:val="00EE505D"/>
    <w:rsid w:val="00F12FFF"/>
    <w:rsid w:val="00F2392C"/>
    <w:rsid w:val="00F37AAC"/>
    <w:rsid w:val="00F6086B"/>
    <w:rsid w:val="00F62DAB"/>
    <w:rsid w:val="00F6339B"/>
    <w:rsid w:val="00F63FB1"/>
    <w:rsid w:val="00F6681D"/>
    <w:rsid w:val="00F76C6C"/>
    <w:rsid w:val="00F77567"/>
    <w:rsid w:val="00F8404F"/>
    <w:rsid w:val="00FA3FFF"/>
    <w:rsid w:val="00FB1E79"/>
    <w:rsid w:val="00FB605F"/>
    <w:rsid w:val="00FC5203"/>
    <w:rsid w:val="00FC66F2"/>
    <w:rsid w:val="00FD1D60"/>
    <w:rsid w:val="00FF2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6E40FA"/>
  <w15:docId w15:val="{1AFCEB66-49B8-4AD8-931A-ECCEE3E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utoRedefine/>
    <w:qFormat/>
    <w:rsid w:val="003E3983"/>
    <w:rPr>
      <w:rFonts w:ascii="Verdana" w:hAnsi="Verdana" w:cs="Calibri"/>
      <w:bCs/>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5C310F"/>
    <w:rPr>
      <w:rFonts w:ascii="Courier New" w:hAnsi="Courier New"/>
      <w:szCs w:val="20"/>
    </w:rPr>
  </w:style>
  <w:style w:type="character" w:customStyle="1" w:styleId="TekstzonderopmaakChar">
    <w:name w:val="Tekst zonder opmaak Char"/>
    <w:link w:val="Tekstzonderopmaak"/>
    <w:rsid w:val="005C310F"/>
    <w:rPr>
      <w:rFonts w:ascii="Courier New" w:hAnsi="Courier New" w:cs="Courier New"/>
      <w:sz w:val="18"/>
    </w:rPr>
  </w:style>
  <w:style w:type="character" w:styleId="Hyperlink">
    <w:name w:val="Hyperlink"/>
    <w:rsid w:val="007E2F66"/>
    <w:rPr>
      <w:color w:val="0000FF"/>
      <w:u w:val="single"/>
    </w:rPr>
  </w:style>
  <w:style w:type="paragraph" w:styleId="Normaalweb">
    <w:name w:val="Normal (Web)"/>
    <w:basedOn w:val="Standaard"/>
    <w:uiPriority w:val="99"/>
    <w:unhideWhenUsed/>
    <w:rsid w:val="007E2F66"/>
    <w:rPr>
      <w:rFonts w:ascii="Times New Roman" w:eastAsia="Calibri" w:hAnsi="Times New Roman"/>
      <w:bCs w:val="0"/>
      <w:sz w:val="24"/>
      <w:szCs w:val="24"/>
      <w:lang w:eastAsia="nl-NL"/>
    </w:rPr>
  </w:style>
  <w:style w:type="character" w:styleId="Onopgelostemelding">
    <w:name w:val="Unresolved Mention"/>
    <w:basedOn w:val="Standaardalinea-lettertype"/>
    <w:uiPriority w:val="99"/>
    <w:semiHidden/>
    <w:unhideWhenUsed/>
    <w:rsid w:val="00995E29"/>
    <w:rPr>
      <w:color w:val="605E5C"/>
      <w:shd w:val="clear" w:color="auto" w:fill="E1DFDD"/>
    </w:rPr>
  </w:style>
  <w:style w:type="character" w:styleId="GevolgdeHyperlink">
    <w:name w:val="FollowedHyperlink"/>
    <w:basedOn w:val="Standaardalinea-lettertype"/>
    <w:semiHidden/>
    <w:unhideWhenUsed/>
    <w:rsid w:val="009D2213"/>
    <w:rPr>
      <w:color w:val="800080" w:themeColor="followedHyperlink"/>
      <w:u w:val="single"/>
    </w:rPr>
  </w:style>
  <w:style w:type="paragraph" w:styleId="Koptekst">
    <w:name w:val="header"/>
    <w:basedOn w:val="Standaard"/>
    <w:link w:val="KoptekstChar"/>
    <w:uiPriority w:val="99"/>
    <w:unhideWhenUsed/>
    <w:rsid w:val="005C3D3B"/>
    <w:pPr>
      <w:tabs>
        <w:tab w:val="center" w:pos="4536"/>
        <w:tab w:val="right" w:pos="9072"/>
      </w:tabs>
    </w:pPr>
  </w:style>
  <w:style w:type="character" w:customStyle="1" w:styleId="KoptekstChar">
    <w:name w:val="Koptekst Char"/>
    <w:basedOn w:val="Standaardalinea-lettertype"/>
    <w:link w:val="Koptekst"/>
    <w:uiPriority w:val="99"/>
    <w:rsid w:val="005C3D3B"/>
    <w:rPr>
      <w:rFonts w:ascii="Verdana" w:hAnsi="Verdana" w:cs="Calibri"/>
      <w:bCs/>
      <w:sz w:val="18"/>
      <w:szCs w:val="18"/>
      <w:lang w:eastAsia="en-US"/>
    </w:rPr>
  </w:style>
  <w:style w:type="paragraph" w:styleId="Voettekst">
    <w:name w:val="footer"/>
    <w:basedOn w:val="Standaard"/>
    <w:link w:val="VoettekstChar"/>
    <w:uiPriority w:val="99"/>
    <w:unhideWhenUsed/>
    <w:rsid w:val="005C3D3B"/>
    <w:pPr>
      <w:tabs>
        <w:tab w:val="center" w:pos="4536"/>
        <w:tab w:val="right" w:pos="9072"/>
      </w:tabs>
    </w:pPr>
  </w:style>
  <w:style w:type="character" w:customStyle="1" w:styleId="VoettekstChar">
    <w:name w:val="Voettekst Char"/>
    <w:basedOn w:val="Standaardalinea-lettertype"/>
    <w:link w:val="Voettekst"/>
    <w:uiPriority w:val="99"/>
    <w:rsid w:val="005C3D3B"/>
    <w:rPr>
      <w:rFonts w:ascii="Verdana" w:hAnsi="Verdana" w:cs="Calibr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htspraak.nl/Voor-advocaten-en-juristen/Reglementen-procedures-en-formulieren/Civiel/paginas/staffel-buitengerechtelijke-incassokosten.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657F-8D01-4AEE-B6EC-7C6754C0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2411</Words>
  <Characters>15309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de Kluijver</dc:creator>
  <cp:lastModifiedBy>FW | De Kluijver</cp:lastModifiedBy>
  <cp:revision>5</cp:revision>
  <cp:lastPrinted>2019-01-24T12:17:00Z</cp:lastPrinted>
  <dcterms:created xsi:type="dcterms:W3CDTF">2020-12-03T11:22:00Z</dcterms:created>
  <dcterms:modified xsi:type="dcterms:W3CDTF">2021-05-20T14:04:00Z</dcterms:modified>
</cp:coreProperties>
</file>